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E81" w:rsidRDefault="00D27312">
      <w:pPr>
        <w:ind w:firstLineChars="200" w:firstLine="880"/>
        <w:jc w:val="center"/>
        <w:rPr>
          <w:rFonts w:ascii="黑体" w:eastAsia="黑体" w:hAnsi="黑体" w:cs="黑体"/>
          <w:sz w:val="44"/>
          <w:szCs w:val="44"/>
        </w:rPr>
      </w:pPr>
      <w:r>
        <w:rPr>
          <w:rFonts w:ascii="黑体" w:eastAsia="黑体" w:hAnsi="黑体" w:cs="黑体" w:hint="eastAsia"/>
          <w:sz w:val="44"/>
          <w:szCs w:val="44"/>
        </w:rPr>
        <w:t>高等学历继续教育</w:t>
      </w:r>
      <w:r>
        <w:rPr>
          <w:rFonts w:ascii="黑体" w:eastAsia="黑体" w:hAnsi="黑体" w:cs="黑体" w:hint="eastAsia"/>
          <w:sz w:val="44"/>
          <w:szCs w:val="44"/>
        </w:rPr>
        <w:t>2021</w:t>
      </w:r>
      <w:r>
        <w:rPr>
          <w:rFonts w:ascii="黑体" w:eastAsia="黑体" w:hAnsi="黑体" w:cs="黑体" w:hint="eastAsia"/>
          <w:sz w:val="44"/>
          <w:szCs w:val="44"/>
        </w:rPr>
        <w:t>年</w:t>
      </w:r>
    </w:p>
    <w:p w:rsidR="00D04E81" w:rsidRDefault="00D27312">
      <w:pPr>
        <w:ind w:firstLineChars="200" w:firstLine="880"/>
        <w:jc w:val="center"/>
        <w:rPr>
          <w:rFonts w:ascii="黑体" w:eastAsia="黑体" w:hAnsi="黑体" w:cs="黑体"/>
          <w:sz w:val="44"/>
          <w:szCs w:val="44"/>
        </w:rPr>
      </w:pPr>
      <w:r>
        <w:rPr>
          <w:rFonts w:ascii="黑体" w:eastAsia="黑体" w:hAnsi="黑体" w:cs="黑体" w:hint="eastAsia"/>
          <w:sz w:val="44"/>
          <w:szCs w:val="44"/>
        </w:rPr>
        <w:t>专业填报工作注意事项</w:t>
      </w:r>
    </w:p>
    <w:p w:rsidR="00D04E81" w:rsidRDefault="00D04E81">
      <w:pPr>
        <w:spacing w:line="560" w:lineRule="exact"/>
        <w:ind w:firstLineChars="200" w:firstLine="640"/>
        <w:rPr>
          <w:rFonts w:ascii="黑体" w:eastAsia="黑体" w:hAnsi="黑体" w:cs="黑体"/>
          <w:sz w:val="32"/>
          <w:szCs w:val="32"/>
        </w:rPr>
      </w:pPr>
    </w:p>
    <w:p w:rsidR="00D04E81" w:rsidRDefault="00D27312">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一、普通本科高校、高等职业院校新增专业注意事项。</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（一）普通本科高校、高等职业院校须在本校已经教育部备案的全日制本、专科专业范围内设置高等学历继续教育本、专科专业。</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（二）普通高校全日制本科专业停招</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年及以上、专科专业停招</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年及以上时，高等学历继续教育相应专业原则上不宜填报。</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（三）原则上普通高校本专科专业应有一届以上毕业生才允许举办相应的继续教育专业（</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月才有一届毕业生也不满足要求）。</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（四）满足</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）（二）（三）的条件可新增专业。</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（五）新增专业是在系统中可选择的专业清单中的，按正常专业填报，同时在附件</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年高等学历继续教育拟招生专业情况表》中的备注栏填写教育部或教育厅批准开设该专业的正式批文文件号和文件名，并将扫描件、电子版发送指定邮箱。如果满足</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）（二）（三）条件的新增专业不在系统中的可选择专业清单中，则需要在</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日前将拟新增专业名称及其教育部批准开设该专业的正式批文扫描件报送我厅。</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（六）每年新增拟招生的继续教育专业数量</w:t>
      </w:r>
      <w:r>
        <w:rPr>
          <w:rFonts w:ascii="仿宋_GB2312" w:eastAsia="仿宋_GB2312" w:hAnsi="仿宋_GB2312" w:cs="仿宋_GB2312" w:hint="eastAsia"/>
          <w:sz w:val="32"/>
          <w:szCs w:val="32"/>
        </w:rPr>
        <w:t>原则上</w:t>
      </w:r>
      <w:r>
        <w:rPr>
          <w:rFonts w:ascii="仿宋_GB2312" w:eastAsia="仿宋_GB2312" w:hAnsi="仿宋_GB2312" w:cs="仿宋_GB2312" w:hint="eastAsia"/>
          <w:sz w:val="32"/>
          <w:szCs w:val="32"/>
        </w:rPr>
        <w:t>不超过</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个，每种层次、学习形式都占用新增名额。</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（七）本科专业可设置方向，但不能以在专业名</w:t>
      </w:r>
      <w:r>
        <w:rPr>
          <w:rFonts w:ascii="仿宋_GB2312" w:eastAsia="仿宋_GB2312" w:hAnsi="仿宋_GB2312" w:cs="仿宋_GB2312" w:hint="eastAsia"/>
          <w:sz w:val="32"/>
          <w:szCs w:val="32"/>
        </w:rPr>
        <w:t>称后带括号的方式出现，可在招生简章的专业介绍中体现出不同方向。</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八）医学门类中的临床医学、口腔医学、中医学、藏医学、蒙医学、维吾尔医学、针灸推拿学、预防医学、麻醉学、医学影像学和医学检验等专业不得安排函授招生计划；艺术类、外语类专业安排函授招生计划须经教育部审核备案。</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医学相关类专业、药学类专业申报举办函授形式教育，要先获得自治区卫生健康委同意，再报教育部同意后才能在系统上填报。有此申报计划的高校请提前和自治区卫生健康委沟通，并就此事正式行文报送我厅。</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（十）去年停招专业不宜再申报。</w:t>
      </w:r>
    </w:p>
    <w:p w:rsidR="00D04E81" w:rsidRDefault="00D27312">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二、独立设置成</w:t>
      </w:r>
      <w:r>
        <w:rPr>
          <w:rFonts w:ascii="黑体" w:eastAsia="黑体" w:hAnsi="黑体" w:cs="黑体" w:hint="eastAsia"/>
          <w:sz w:val="32"/>
          <w:szCs w:val="32"/>
        </w:rPr>
        <w:t>人高校、广西开放大学新增专业注意事项。</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一）对于拟设置的新专业，要组织校内有关专业设置评议专家组进行审议，通过信息平台提交《非国控专业增设申请表》（系统中可下载）。</w:t>
      </w:r>
      <w:bookmarkStart w:id="0" w:name="_GoBack"/>
      <w:bookmarkEnd w:id="0"/>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（二）信息平台面向社会公示一个月，学校官方网站应同步公示，高校在本校平台公示时，必须将用以收集意见的电话、邮箱等信息予以公布。</w:t>
      </w:r>
    </w:p>
    <w:p w:rsidR="00D04E81" w:rsidRDefault="00D27312">
      <w:pPr>
        <w:spacing w:line="560" w:lineRule="exact"/>
        <w:ind w:firstLineChars="200" w:firstLine="640"/>
        <w:rPr>
          <w:rFonts w:ascii="仿宋" w:eastAsia="仿宋" w:hAnsi="仿宋" w:cs="黑体"/>
          <w:sz w:val="32"/>
          <w:szCs w:val="32"/>
        </w:rPr>
      </w:pPr>
      <w:r>
        <w:rPr>
          <w:rFonts w:ascii="黑体" w:eastAsia="黑体" w:hAnsi="黑体" w:cs="黑体" w:hint="eastAsia"/>
          <w:sz w:val="32"/>
          <w:szCs w:val="32"/>
        </w:rPr>
        <w:t>三、连续</w:t>
      </w:r>
      <w:r>
        <w:rPr>
          <w:rFonts w:ascii="黑体" w:eastAsia="黑体" w:hAnsi="黑体" w:cs="黑体" w:hint="eastAsia"/>
          <w:sz w:val="32"/>
          <w:szCs w:val="32"/>
        </w:rPr>
        <w:t>2</w:t>
      </w:r>
      <w:r>
        <w:rPr>
          <w:rFonts w:ascii="黑体" w:eastAsia="黑体" w:hAnsi="黑体" w:cs="黑体" w:hint="eastAsia"/>
          <w:sz w:val="32"/>
          <w:szCs w:val="32"/>
        </w:rPr>
        <w:t>年实际招生人数少于</w:t>
      </w:r>
      <w:r>
        <w:rPr>
          <w:rFonts w:ascii="黑体" w:eastAsia="黑体" w:hAnsi="黑体" w:cs="黑体" w:hint="eastAsia"/>
          <w:sz w:val="32"/>
          <w:szCs w:val="32"/>
        </w:rPr>
        <w:t>20</w:t>
      </w:r>
      <w:r>
        <w:rPr>
          <w:rFonts w:ascii="黑体" w:eastAsia="黑体" w:hAnsi="黑体" w:cs="黑体" w:hint="eastAsia"/>
          <w:sz w:val="32"/>
          <w:szCs w:val="32"/>
        </w:rPr>
        <w:t>人的继续教育专业应予以停招。</w:t>
      </w:r>
      <w:r>
        <w:rPr>
          <w:rFonts w:ascii="仿宋" w:eastAsia="仿宋" w:hAnsi="仿宋" w:cs="黑体" w:hint="eastAsia"/>
          <w:sz w:val="32"/>
          <w:szCs w:val="32"/>
        </w:rPr>
        <w:t>学校</w:t>
      </w:r>
      <w:r>
        <w:rPr>
          <w:rFonts w:ascii="仿宋" w:eastAsia="仿宋" w:hAnsi="仿宋" w:cs="黑体"/>
          <w:sz w:val="32"/>
          <w:szCs w:val="32"/>
        </w:rPr>
        <w:t>如有特殊原因</w:t>
      </w:r>
      <w:r>
        <w:rPr>
          <w:rFonts w:ascii="仿宋" w:eastAsia="仿宋" w:hAnsi="仿宋" w:cs="黑体" w:hint="eastAsia"/>
          <w:sz w:val="32"/>
          <w:szCs w:val="32"/>
        </w:rPr>
        <w:t>拟继续</w:t>
      </w:r>
      <w:r>
        <w:rPr>
          <w:rFonts w:ascii="仿宋" w:eastAsia="仿宋" w:hAnsi="仿宋" w:cs="黑体"/>
          <w:sz w:val="32"/>
          <w:szCs w:val="32"/>
        </w:rPr>
        <w:t>招生，需提交</w:t>
      </w:r>
      <w:r>
        <w:rPr>
          <w:rFonts w:ascii="仿宋" w:eastAsia="仿宋" w:hAnsi="仿宋" w:cs="黑体" w:hint="eastAsia"/>
          <w:sz w:val="32"/>
          <w:szCs w:val="32"/>
        </w:rPr>
        <w:t>2021</w:t>
      </w:r>
      <w:r>
        <w:rPr>
          <w:rFonts w:ascii="仿宋" w:eastAsia="仿宋" w:hAnsi="仿宋" w:cs="黑体" w:hint="eastAsia"/>
          <w:sz w:val="32"/>
          <w:szCs w:val="32"/>
        </w:rPr>
        <w:t>年度该专业</w:t>
      </w:r>
      <w:r>
        <w:rPr>
          <w:rFonts w:ascii="仿宋" w:eastAsia="仿宋" w:hAnsi="仿宋" w:cs="黑体"/>
          <w:sz w:val="32"/>
          <w:szCs w:val="32"/>
        </w:rPr>
        <w:t>的</w:t>
      </w:r>
      <w:r>
        <w:rPr>
          <w:rFonts w:ascii="仿宋" w:eastAsia="仿宋" w:hAnsi="仿宋" w:cs="黑体" w:hint="eastAsia"/>
          <w:sz w:val="32"/>
          <w:szCs w:val="32"/>
        </w:rPr>
        <w:t>生源分析</w:t>
      </w:r>
      <w:r>
        <w:rPr>
          <w:rFonts w:ascii="仿宋" w:eastAsia="仿宋" w:hAnsi="仿宋" w:cs="黑体"/>
          <w:sz w:val="32"/>
          <w:szCs w:val="32"/>
        </w:rPr>
        <w:t>报告及</w:t>
      </w:r>
      <w:r>
        <w:rPr>
          <w:rFonts w:ascii="仿宋" w:eastAsia="仿宋" w:hAnsi="仿宋" w:cs="黑体" w:hint="eastAsia"/>
          <w:sz w:val="32"/>
          <w:szCs w:val="32"/>
        </w:rPr>
        <w:t>具体</w:t>
      </w:r>
      <w:r>
        <w:rPr>
          <w:rFonts w:ascii="仿宋" w:eastAsia="仿宋" w:hAnsi="仿宋" w:cs="黑体"/>
          <w:sz w:val="32"/>
          <w:szCs w:val="32"/>
        </w:rPr>
        <w:t>招生工作</w:t>
      </w:r>
      <w:r>
        <w:rPr>
          <w:rFonts w:ascii="仿宋" w:eastAsia="仿宋" w:hAnsi="仿宋" w:cs="黑体" w:hint="eastAsia"/>
          <w:sz w:val="32"/>
          <w:szCs w:val="32"/>
        </w:rPr>
        <w:t>计划</w:t>
      </w:r>
      <w:r>
        <w:rPr>
          <w:rFonts w:ascii="仿宋" w:eastAsia="仿宋" w:hAnsi="仿宋" w:cs="黑体"/>
          <w:sz w:val="32"/>
          <w:szCs w:val="32"/>
        </w:rPr>
        <w:t>。</w:t>
      </w:r>
    </w:p>
    <w:p w:rsidR="00D04E81" w:rsidRDefault="00D27312">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四、合理填报各专业拟招生人数（以去年的实际招生数据为参照依据），处理好办学规模、办学效率与办学质量之间的关系，不宜过大或过小。</w:t>
      </w:r>
    </w:p>
    <w:p w:rsidR="00D04E81" w:rsidRDefault="00D27312">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五、人才培养方案应包括以下内容：</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（一）专业名称；</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（二）专业层次；</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（三）入学要求；</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（四）培养目标</w:t>
      </w:r>
      <w:r>
        <w:rPr>
          <w:rFonts w:ascii="仿宋_GB2312" w:eastAsia="仿宋_GB2312" w:hAnsi="仿宋_GB2312" w:cs="仿宋_GB2312" w:hint="eastAsia"/>
          <w:sz w:val="32"/>
          <w:szCs w:val="32"/>
        </w:rPr>
        <w:t>：包括</w:t>
      </w:r>
      <w:r>
        <w:rPr>
          <w:rFonts w:ascii="仿宋_GB2312" w:eastAsia="仿宋_GB2312" w:hAnsi="仿宋_GB2312" w:cs="仿宋_GB2312" w:hint="eastAsia"/>
          <w:sz w:val="32"/>
          <w:szCs w:val="32"/>
        </w:rPr>
        <w:t>应掌握的知识、具备的能力、养成的情感态度和价值观，人才培养类型，适合工作领域；</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（五）培养规格</w:t>
      </w:r>
      <w:r>
        <w:rPr>
          <w:rFonts w:ascii="仿宋_GB2312" w:eastAsia="仿宋_GB2312" w:hAnsi="仿宋_GB2312" w:cs="仿宋_GB2312" w:hint="eastAsia"/>
          <w:sz w:val="32"/>
          <w:szCs w:val="32"/>
        </w:rPr>
        <w:t>：包括</w:t>
      </w:r>
      <w:r>
        <w:rPr>
          <w:rFonts w:ascii="仿宋_GB2312" w:eastAsia="仿宋_GB2312" w:hAnsi="仿宋_GB2312" w:cs="仿宋_GB2312" w:hint="eastAsia"/>
          <w:sz w:val="32"/>
          <w:szCs w:val="32"/>
        </w:rPr>
        <w:t>修业年限</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学习形式</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总学时</w:t>
      </w:r>
      <w:r>
        <w:rPr>
          <w:rFonts w:ascii="仿宋_GB2312" w:eastAsia="仿宋_GB2312" w:hAnsi="仿宋_GB2312" w:cs="仿宋_GB2312" w:hint="eastAsia"/>
          <w:sz w:val="32"/>
          <w:szCs w:val="32"/>
        </w:rPr>
        <w:t>、总</w:t>
      </w:r>
      <w:r>
        <w:rPr>
          <w:rFonts w:ascii="仿宋_GB2312" w:eastAsia="仿宋_GB2312" w:hAnsi="仿宋_GB2312" w:cs="仿宋_GB2312" w:hint="eastAsia"/>
          <w:sz w:val="32"/>
          <w:szCs w:val="32"/>
        </w:rPr>
        <w:t>学分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毕业及学位要求</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人才培养知识、能力和素质要求；</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（六）课程体系</w:t>
      </w:r>
      <w:r>
        <w:rPr>
          <w:rFonts w:ascii="仿宋_GB2312" w:eastAsia="仿宋_GB2312" w:hAnsi="仿宋_GB2312" w:cs="仿宋_GB2312" w:hint="eastAsia"/>
          <w:sz w:val="32"/>
          <w:szCs w:val="32"/>
        </w:rPr>
        <w:t>：包括</w:t>
      </w:r>
      <w:r>
        <w:rPr>
          <w:rFonts w:ascii="仿宋_GB2312" w:eastAsia="仿宋_GB2312" w:hAnsi="仿宋_GB2312" w:cs="仿宋_GB2312" w:hint="eastAsia"/>
          <w:sz w:val="32"/>
          <w:szCs w:val="32"/>
        </w:rPr>
        <w:t>课程体系总体框架</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课程设置</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课程考核；</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（七）教学计划进程表</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教学计划进程表内容应包括：</w:t>
      </w:r>
      <w:r>
        <w:rPr>
          <w:rFonts w:ascii="仿宋_GB2312" w:eastAsia="仿宋_GB2312" w:hAnsi="仿宋_GB2312" w:cs="仿宋_GB2312" w:hint="eastAsia"/>
          <w:sz w:val="32"/>
          <w:szCs w:val="32"/>
        </w:rPr>
        <w:t>课程类别</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课程性质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课程名称</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课时</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学分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开设学期</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教学方式</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考核方式；</w:t>
      </w:r>
    </w:p>
    <w:p w:rsidR="00D04E81" w:rsidRDefault="00D27312">
      <w:pPr>
        <w:spacing w:line="560" w:lineRule="exact"/>
        <w:ind w:firstLineChars="200" w:firstLine="640"/>
        <w:rPr>
          <w:rFonts w:ascii="仿宋" w:eastAsia="仿宋" w:hAnsi="仿宋"/>
          <w:sz w:val="32"/>
          <w:szCs w:val="32"/>
        </w:rPr>
      </w:pPr>
      <w:r>
        <w:rPr>
          <w:rFonts w:ascii="仿宋_GB2312" w:eastAsia="仿宋_GB2312" w:hAnsi="仿宋_GB2312" w:cs="仿宋_GB2312" w:hint="eastAsia"/>
          <w:sz w:val="32"/>
          <w:szCs w:val="32"/>
        </w:rPr>
        <w:t>2.</w:t>
      </w:r>
      <w:r>
        <w:rPr>
          <w:rFonts w:ascii="仿宋" w:eastAsia="仿宋" w:hAnsi="仿宋" w:hint="eastAsia"/>
          <w:sz w:val="32"/>
          <w:szCs w:val="32"/>
        </w:rPr>
        <w:t>贯彻落实《新时代高校思想政治理论课教学工作基本要求》（教社科〔</w:t>
      </w:r>
      <w:r>
        <w:rPr>
          <w:rFonts w:ascii="仿宋" w:eastAsia="仿宋" w:hAnsi="仿宋" w:hint="eastAsia"/>
          <w:sz w:val="32"/>
          <w:szCs w:val="32"/>
        </w:rPr>
        <w:t>2018</w:t>
      </w:r>
      <w:r>
        <w:rPr>
          <w:rFonts w:ascii="仿宋" w:eastAsia="仿宋" w:hAnsi="仿宋" w:hint="eastAsia"/>
          <w:sz w:val="32"/>
          <w:szCs w:val="32"/>
        </w:rPr>
        <w:t>〕</w:t>
      </w:r>
      <w:r>
        <w:rPr>
          <w:rFonts w:ascii="仿宋" w:eastAsia="仿宋" w:hAnsi="仿宋" w:hint="eastAsia"/>
          <w:sz w:val="32"/>
          <w:szCs w:val="32"/>
        </w:rPr>
        <w:t>2</w:t>
      </w:r>
      <w:r>
        <w:rPr>
          <w:rFonts w:ascii="仿宋" w:eastAsia="仿宋" w:hAnsi="仿宋" w:hint="eastAsia"/>
          <w:sz w:val="32"/>
          <w:szCs w:val="32"/>
        </w:rPr>
        <w:t>号）中</w:t>
      </w:r>
      <w:r>
        <w:rPr>
          <w:rFonts w:ascii="仿宋" w:eastAsia="仿宋" w:hAnsi="仿宋"/>
          <w:sz w:val="32"/>
          <w:szCs w:val="32"/>
        </w:rPr>
        <w:t>关于</w:t>
      </w:r>
      <w:r>
        <w:rPr>
          <w:rFonts w:ascii="仿宋" w:eastAsia="仿宋" w:hAnsi="仿宋" w:hint="eastAsia"/>
          <w:sz w:val="32"/>
          <w:szCs w:val="32"/>
        </w:rPr>
        <w:t>开设思想政治</w:t>
      </w:r>
      <w:r>
        <w:rPr>
          <w:rFonts w:ascii="仿宋" w:eastAsia="仿宋" w:hAnsi="仿宋"/>
          <w:sz w:val="32"/>
          <w:szCs w:val="32"/>
        </w:rPr>
        <w:t>理论课</w:t>
      </w:r>
      <w:r>
        <w:rPr>
          <w:rFonts w:ascii="仿宋" w:eastAsia="仿宋" w:hAnsi="仿宋" w:hint="eastAsia"/>
          <w:sz w:val="32"/>
          <w:szCs w:val="32"/>
        </w:rPr>
        <w:t>的</w:t>
      </w:r>
      <w:r>
        <w:rPr>
          <w:rFonts w:ascii="仿宋" w:eastAsia="仿宋" w:hAnsi="仿宋"/>
          <w:sz w:val="32"/>
          <w:szCs w:val="32"/>
        </w:rPr>
        <w:t>要求</w:t>
      </w:r>
      <w:r>
        <w:rPr>
          <w:rFonts w:ascii="仿宋" w:eastAsia="仿宋" w:hAnsi="仿宋" w:hint="eastAsia"/>
          <w:sz w:val="32"/>
          <w:szCs w:val="32"/>
        </w:rPr>
        <w:t>:</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 w:eastAsia="仿宋" w:hAnsi="仿宋" w:hint="eastAsia"/>
          <w:sz w:val="32"/>
          <w:szCs w:val="32"/>
        </w:rPr>
        <w:t>(1)</w:t>
      </w:r>
      <w:r>
        <w:rPr>
          <w:rFonts w:ascii="仿宋_GB2312" w:eastAsia="仿宋_GB2312" w:hAnsi="仿宋_GB2312" w:cs="仿宋_GB2312" w:hint="eastAsia"/>
          <w:sz w:val="32"/>
          <w:szCs w:val="32"/>
        </w:rPr>
        <w:t>本科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需从</w:t>
      </w:r>
      <w:r>
        <w:rPr>
          <w:rFonts w:ascii="仿宋_GB2312" w:eastAsia="仿宋_GB2312" w:hAnsi="仿宋_GB2312" w:cs="仿宋_GB2312" w:hint="eastAsia"/>
          <w:sz w:val="32"/>
          <w:szCs w:val="32"/>
        </w:rPr>
        <w:t>以下</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门课程中进行选择，至少开设</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门。</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①</w:t>
      </w:r>
      <w:r>
        <w:rPr>
          <w:rFonts w:ascii="仿宋_GB2312" w:eastAsia="仿宋_GB2312" w:hAnsi="仿宋_GB2312" w:cs="仿宋_GB2312" w:hint="eastAsia"/>
          <w:sz w:val="32"/>
          <w:szCs w:val="32"/>
        </w:rPr>
        <w:t>马克思主义基本原理概论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学分</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②</w:t>
      </w:r>
      <w:r>
        <w:rPr>
          <w:rFonts w:ascii="仿宋_GB2312" w:eastAsia="仿宋_GB2312" w:hAnsi="仿宋_GB2312" w:cs="仿宋_GB2312" w:hint="eastAsia"/>
          <w:sz w:val="32"/>
          <w:szCs w:val="32"/>
        </w:rPr>
        <w:t>毛泽东思想和中国特色社会主义理论体系概论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学分</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③</w:t>
      </w:r>
      <w:r>
        <w:rPr>
          <w:rFonts w:ascii="仿宋_GB2312" w:eastAsia="仿宋_GB2312" w:hAnsi="仿宋_GB2312" w:cs="仿宋_GB2312" w:hint="eastAsia"/>
          <w:sz w:val="32"/>
          <w:szCs w:val="32"/>
        </w:rPr>
        <w:t>中国近现代史纲要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学分</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④</w:t>
      </w:r>
      <w:r>
        <w:rPr>
          <w:rFonts w:ascii="仿宋_GB2312" w:eastAsia="仿宋_GB2312" w:hAnsi="仿宋_GB2312" w:cs="仿宋_GB2312" w:hint="eastAsia"/>
          <w:sz w:val="32"/>
          <w:szCs w:val="32"/>
        </w:rPr>
        <w:t>思想道德修养与法律基础</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学分</w:t>
      </w:r>
    </w:p>
    <w:p w:rsidR="00D04E81" w:rsidRDefault="00D27312">
      <w:pPr>
        <w:spacing w:line="560" w:lineRule="exact"/>
        <w:ind w:firstLineChars="200" w:firstLine="640"/>
        <w:rPr>
          <w:rFonts w:ascii="仿宋" w:eastAsia="仿宋" w:hAnsi="仿宋"/>
          <w:sz w:val="32"/>
          <w:szCs w:val="32"/>
        </w:rPr>
      </w:pPr>
      <w:r>
        <w:rPr>
          <w:rFonts w:ascii="宋体" w:eastAsia="宋体" w:hAnsi="宋体" w:cs="宋体" w:hint="eastAsia"/>
          <w:sz w:val="32"/>
          <w:szCs w:val="32"/>
        </w:rPr>
        <w:t>⑤</w:t>
      </w:r>
      <w:r>
        <w:rPr>
          <w:rFonts w:ascii="仿宋_GB2312" w:eastAsia="仿宋_GB2312" w:hAnsi="仿宋_GB2312" w:cs="仿宋_GB2312" w:hint="eastAsia"/>
          <w:sz w:val="32"/>
          <w:szCs w:val="32"/>
        </w:rPr>
        <w:t>形势与政策</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学分</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 w:eastAsia="仿宋" w:hAnsi="仿宋" w:hint="eastAsia"/>
          <w:sz w:val="32"/>
          <w:szCs w:val="32"/>
        </w:rPr>
        <w:t>(2)</w:t>
      </w:r>
      <w:r>
        <w:rPr>
          <w:rFonts w:ascii="仿宋_GB2312" w:eastAsia="仿宋_GB2312" w:hAnsi="仿宋_GB2312" w:cs="仿宋_GB2312" w:hint="eastAsia"/>
          <w:sz w:val="32"/>
          <w:szCs w:val="32"/>
        </w:rPr>
        <w:t>专科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需从</w:t>
      </w:r>
      <w:r>
        <w:rPr>
          <w:rFonts w:ascii="仿宋_GB2312" w:eastAsia="仿宋_GB2312" w:hAnsi="仿宋_GB2312" w:cs="仿宋_GB2312" w:hint="eastAsia"/>
          <w:sz w:val="32"/>
          <w:szCs w:val="32"/>
        </w:rPr>
        <w:t>以下</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门课程中进行选择，至少开设</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门。</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①</w:t>
      </w:r>
      <w:r>
        <w:rPr>
          <w:rFonts w:ascii="仿宋_GB2312" w:eastAsia="仿宋_GB2312" w:hAnsi="仿宋_GB2312" w:cs="仿宋_GB2312" w:hint="eastAsia"/>
          <w:sz w:val="32"/>
          <w:szCs w:val="32"/>
        </w:rPr>
        <w:t>毛泽东思想和中国特色社会主义理论体系概论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学分</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sz w:val="32"/>
          <w:szCs w:val="32"/>
        </w:rPr>
        <w:t>②</w:t>
      </w:r>
      <w:r>
        <w:rPr>
          <w:rFonts w:ascii="仿宋_GB2312" w:eastAsia="仿宋_GB2312" w:hAnsi="仿宋_GB2312" w:cs="仿宋_GB2312" w:hint="eastAsia"/>
          <w:sz w:val="32"/>
          <w:szCs w:val="32"/>
        </w:rPr>
        <w:t>思想道德修养与法律基础</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学分</w:t>
      </w:r>
    </w:p>
    <w:p w:rsidR="00D04E81" w:rsidRDefault="00D27312">
      <w:pPr>
        <w:spacing w:line="560" w:lineRule="exact"/>
        <w:ind w:firstLineChars="200" w:firstLine="640"/>
        <w:rPr>
          <w:rFonts w:ascii="仿宋" w:eastAsia="仿宋" w:hAnsi="仿宋"/>
          <w:sz w:val="32"/>
          <w:szCs w:val="32"/>
        </w:rPr>
      </w:pPr>
      <w:r>
        <w:rPr>
          <w:rFonts w:ascii="仿宋" w:eastAsia="仿宋" w:hAnsi="仿宋" w:cs="仿宋" w:hint="eastAsia"/>
          <w:sz w:val="32"/>
          <w:szCs w:val="32"/>
        </w:rPr>
        <w:t>③</w:t>
      </w:r>
      <w:r>
        <w:rPr>
          <w:rFonts w:ascii="仿宋_GB2312" w:eastAsia="仿宋_GB2312" w:hAnsi="仿宋_GB2312" w:cs="仿宋_GB2312" w:hint="eastAsia"/>
          <w:sz w:val="32"/>
          <w:szCs w:val="32"/>
        </w:rPr>
        <w:t>形势与政策</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学分</w:t>
      </w:r>
    </w:p>
    <w:p w:rsidR="00D04E81" w:rsidRDefault="00D2731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（八）支持服务能力</w:t>
      </w:r>
      <w:r>
        <w:rPr>
          <w:rFonts w:ascii="仿宋_GB2312" w:eastAsia="仿宋_GB2312" w:hAnsi="仿宋_GB2312" w:cs="仿宋_GB2312" w:hint="eastAsia"/>
          <w:sz w:val="32"/>
          <w:szCs w:val="32"/>
        </w:rPr>
        <w:t>：包括</w:t>
      </w:r>
      <w:r>
        <w:rPr>
          <w:rFonts w:ascii="仿宋_GB2312" w:eastAsia="仿宋_GB2312" w:hAnsi="仿宋_GB2312" w:cs="仿宋_GB2312" w:hint="eastAsia"/>
          <w:sz w:val="32"/>
          <w:szCs w:val="32"/>
        </w:rPr>
        <w:t>师资队伍</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教学资源</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设施设备等</w:t>
      </w:r>
      <w:r>
        <w:rPr>
          <w:rFonts w:ascii="仿宋_GB2312" w:eastAsia="仿宋_GB2312" w:hAnsi="仿宋_GB2312" w:cs="仿宋_GB2312" w:hint="eastAsia"/>
          <w:sz w:val="32"/>
          <w:szCs w:val="32"/>
        </w:rPr>
        <w:t>内容</w:t>
      </w:r>
      <w:r>
        <w:rPr>
          <w:rFonts w:ascii="仿宋_GB2312" w:eastAsia="仿宋_GB2312" w:hAnsi="仿宋_GB2312" w:cs="仿宋_GB2312" w:hint="eastAsia"/>
          <w:sz w:val="32"/>
          <w:szCs w:val="32"/>
        </w:rPr>
        <w:t>。</w:t>
      </w:r>
    </w:p>
    <w:p w:rsidR="00D04E81" w:rsidRDefault="00D27312">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注意</w:t>
      </w:r>
      <w:r>
        <w:rPr>
          <w:rFonts w:ascii="仿宋_GB2312" w:eastAsia="仿宋_GB2312" w:hAnsi="仿宋_GB2312" w:cs="仿宋_GB2312" w:hint="eastAsia"/>
          <w:sz w:val="32"/>
          <w:szCs w:val="32"/>
        </w:rPr>
        <w:t>：人才培养方案中的关键信息，如学习形式、学习年</w:t>
      </w:r>
      <w:r>
        <w:rPr>
          <w:rFonts w:ascii="仿宋_GB2312" w:eastAsia="仿宋_GB2312" w:hAnsi="仿宋_GB2312" w:cs="仿宋_GB2312" w:hint="eastAsia"/>
          <w:sz w:val="32"/>
          <w:szCs w:val="32"/>
        </w:rPr>
        <w:lastRenderedPageBreak/>
        <w:t>限、专业层次等，应与拟招生专业信息保持一致。人才培养方案和教学计划应与对应的学习形式相匹配，不能出现业余学习形式的专业，教学计划是按照函授教育的要求制定的。</w:t>
      </w:r>
    </w:p>
    <w:p w:rsidR="00D04E81" w:rsidRDefault="00D04E81">
      <w:pPr>
        <w:spacing w:line="560" w:lineRule="exact"/>
        <w:ind w:firstLineChars="200" w:firstLine="640"/>
        <w:rPr>
          <w:rFonts w:ascii="仿宋_GB2312" w:eastAsia="仿宋_GB2312" w:hAnsi="仿宋_GB2312" w:cs="仿宋_GB2312"/>
          <w:color w:val="FF0000"/>
          <w:sz w:val="32"/>
          <w:szCs w:val="32"/>
        </w:rPr>
      </w:pPr>
    </w:p>
    <w:sectPr w:rsidR="00D04E81">
      <w:pgSz w:w="11906" w:h="16838"/>
      <w:pgMar w:top="1247" w:right="1587" w:bottom="1134"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312" w:rsidRDefault="00D27312" w:rsidP="00EB335F">
      <w:r>
        <w:separator/>
      </w:r>
    </w:p>
  </w:endnote>
  <w:endnote w:type="continuationSeparator" w:id="0">
    <w:p w:rsidR="00D27312" w:rsidRDefault="00D27312" w:rsidP="00EB3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312" w:rsidRDefault="00D27312" w:rsidP="00EB335F">
      <w:r>
        <w:separator/>
      </w:r>
    </w:p>
  </w:footnote>
  <w:footnote w:type="continuationSeparator" w:id="0">
    <w:p w:rsidR="00D27312" w:rsidRDefault="00D27312" w:rsidP="00EB33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D2A"/>
    <w:rsid w:val="00020D5E"/>
    <w:rsid w:val="00135D8F"/>
    <w:rsid w:val="002703CD"/>
    <w:rsid w:val="00492090"/>
    <w:rsid w:val="00533476"/>
    <w:rsid w:val="005F348D"/>
    <w:rsid w:val="00601FA9"/>
    <w:rsid w:val="00701D2A"/>
    <w:rsid w:val="00B05163"/>
    <w:rsid w:val="00C60514"/>
    <w:rsid w:val="00D04E81"/>
    <w:rsid w:val="00D27312"/>
    <w:rsid w:val="00DB032B"/>
    <w:rsid w:val="00E43AA8"/>
    <w:rsid w:val="00EB335F"/>
    <w:rsid w:val="00F762E1"/>
    <w:rsid w:val="07740CEF"/>
    <w:rsid w:val="17B14AD6"/>
    <w:rsid w:val="1B7D618D"/>
    <w:rsid w:val="2C2A6F92"/>
    <w:rsid w:val="30E57D45"/>
    <w:rsid w:val="35535C62"/>
    <w:rsid w:val="36E77B3A"/>
    <w:rsid w:val="44497F96"/>
    <w:rsid w:val="44D5048A"/>
    <w:rsid w:val="539A24C8"/>
    <w:rsid w:val="59370B65"/>
    <w:rsid w:val="640703D2"/>
    <w:rsid w:val="66061F5C"/>
    <w:rsid w:val="6F444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qFormat/>
    <w:rPr>
      <w:b/>
      <w:bCs/>
    </w:rPr>
  </w:style>
  <w:style w:type="character" w:styleId="a8">
    <w:name w:val="annotation reference"/>
    <w:basedOn w:val="a0"/>
    <w:qFormat/>
    <w:rPr>
      <w:sz w:val="21"/>
      <w:szCs w:val="21"/>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qFormat/>
    <w:rPr>
      <w:rFonts w:asciiTheme="minorHAnsi" w:eastAsiaTheme="minorEastAsia" w:hAnsiTheme="minorHAnsi" w:cstheme="minorBidi"/>
      <w:kern w:val="2"/>
      <w:sz w:val="18"/>
      <w:szCs w:val="18"/>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7"/>
    <w:qFormat/>
    <w:rPr>
      <w:rFonts w:asciiTheme="minorHAnsi" w:eastAsiaTheme="minorEastAsia" w:hAnsiTheme="minorHAnsi" w:cstheme="minorBidi"/>
      <w:b/>
      <w:bCs/>
      <w:kern w:val="2"/>
      <w:sz w:val="21"/>
      <w:szCs w:val="24"/>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qFormat/>
    <w:rPr>
      <w:b/>
      <w:bCs/>
    </w:rPr>
  </w:style>
  <w:style w:type="character" w:styleId="a8">
    <w:name w:val="annotation reference"/>
    <w:basedOn w:val="a0"/>
    <w:qFormat/>
    <w:rPr>
      <w:sz w:val="21"/>
      <w:szCs w:val="21"/>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qFormat/>
    <w:rPr>
      <w:rFonts w:asciiTheme="minorHAnsi" w:eastAsiaTheme="minorEastAsia" w:hAnsiTheme="minorHAnsi" w:cstheme="minorBidi"/>
      <w:kern w:val="2"/>
      <w:sz w:val="18"/>
      <w:szCs w:val="18"/>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7"/>
    <w:qFormat/>
    <w:rPr>
      <w:rFonts w:asciiTheme="minorHAnsi" w:eastAsiaTheme="minorEastAsia" w:hAnsiTheme="minorHAnsi" w:cstheme="minorBidi"/>
      <w:b/>
      <w:bCs/>
      <w:kern w:val="2"/>
      <w:sz w:val="21"/>
      <w:szCs w:val="24"/>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250</Words>
  <Characters>1427</Characters>
  <Application>Microsoft Office Word</Application>
  <DocSecurity>0</DocSecurity>
  <Lines>11</Lines>
  <Paragraphs>3</Paragraphs>
  <ScaleCrop>false</ScaleCrop>
  <Company>DELL</Company>
  <LinksUpToDate>false</LinksUpToDate>
  <CharactersWithSpaces>1674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继续教育学院</cp:lastModifiedBy>
  <cp:revision>11</cp:revision>
  <cp:lastPrinted>2021-01-08T01:21:00Z</cp:lastPrinted>
  <dcterms:created xsi:type="dcterms:W3CDTF">2014-10-29T12:08:00Z</dcterms:created>
  <dcterms:modified xsi:type="dcterms:W3CDTF">2021-01-08T03:48:00Z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