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30392">
      <w:pPr>
        <w:pStyle w:val="2"/>
        <w:spacing w:line="500" w:lineRule="exact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Cs w:val="32"/>
        </w:rPr>
        <w:t>附件</w:t>
      </w:r>
      <w:r>
        <w:rPr>
          <w:rFonts w:hint="eastAsia" w:eastAsia="黑体" w:cs="黑体"/>
          <w:color w:val="000000"/>
          <w:kern w:val="0"/>
          <w:szCs w:val="32"/>
          <w:lang w:val="en-US" w:eastAsia="zh-CN"/>
        </w:rPr>
        <w:t>2</w:t>
      </w:r>
    </w:p>
    <w:p w14:paraId="1A66E97D">
      <w:pPr>
        <w:spacing w:line="500" w:lineRule="exact"/>
        <w:rPr>
          <w:rFonts w:hint="eastAsia" w:ascii="仿宋_GB2312" w:hAnsi="仿宋_GB2312" w:eastAsia="仿宋_GB2312" w:cs="仿宋_GB2312"/>
          <w:b/>
          <w:bCs/>
          <w:spacing w:val="-10"/>
          <w:sz w:val="36"/>
          <w:szCs w:val="36"/>
          <w:lang w:val="en-US" w:eastAsia="zh-CN"/>
        </w:rPr>
      </w:pPr>
    </w:p>
    <w:p w14:paraId="4049B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</w:pPr>
      <w:bookmarkStart w:id="1" w:name="_GoBack"/>
      <w:bookmarkStart w:id="0" w:name="OLE_LINK5"/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研究阐释党的二十届三中全会中关于</w:t>
      </w:r>
    </w:p>
    <w:p w14:paraId="3566C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教育重要论述重大课题选题指南</w:t>
      </w:r>
      <w:bookmarkEnd w:id="1"/>
      <w:bookmarkEnd w:id="0"/>
    </w:p>
    <w:p w14:paraId="50E23E10">
      <w:pPr>
        <w:spacing w:line="500" w:lineRule="exact"/>
        <w:jc w:val="center"/>
        <w:textAlignment w:val="baseline"/>
        <w:rPr>
          <w:rFonts w:hint="eastAsia" w:ascii="Arial Unicode MS" w:hAnsi="Times New Roman" w:eastAsia="Arial Unicode MS" w:cs="Times New Roman"/>
          <w:bCs/>
          <w:sz w:val="44"/>
          <w:szCs w:val="44"/>
          <w:lang w:val="en-US" w:eastAsia="zh-CN"/>
        </w:rPr>
      </w:pPr>
    </w:p>
    <w:p w14:paraId="55BD35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.推进教育、科技、人才体制机制一体改革研究</w:t>
      </w:r>
    </w:p>
    <w:p w14:paraId="0E93F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.构建大思政工作体系研究</w:t>
      </w:r>
    </w:p>
    <w:p w14:paraId="3A8F19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.深化教育评价改革研究</w:t>
      </w:r>
    </w:p>
    <w:p w14:paraId="20D5A4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.优化广西高等教育布局研究</w:t>
      </w:r>
    </w:p>
    <w:p w14:paraId="054058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.完善广西高校科技创新机制研究</w:t>
      </w:r>
    </w:p>
    <w:p w14:paraId="4E2C7A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.构建广西职普融通、产教融合的职业教育体系研究</w:t>
      </w:r>
    </w:p>
    <w:p w14:paraId="312636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.建立同广西人口变化相协调的基本公共教育服务供给机制研究</w:t>
      </w:r>
    </w:p>
    <w:p w14:paraId="19D378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.推进教育数字化和终身学习研究</w:t>
      </w:r>
    </w:p>
    <w:p w14:paraId="6C5360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9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.优化广西教师教育体系和管理体制研究</w:t>
      </w:r>
    </w:p>
    <w:p w14:paraId="1F092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.推进面向东盟的高水平教育对外开放研究</w:t>
      </w:r>
    </w:p>
    <w:p w14:paraId="7A262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0"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11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.完善广西义务教育优质均衡推进机制研究</w:t>
      </w:r>
    </w:p>
    <w:p w14:paraId="233E7B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0"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12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.健全学前教育和特殊教育、专门教育保障机制研究</w:t>
      </w:r>
    </w:p>
    <w:p w14:paraId="3C97C9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13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.探索逐步扩大免费教育范围机制研究</w:t>
      </w:r>
    </w:p>
    <w:p w14:paraId="1EF53C2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616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建立科技发展、国家战略需求牵引的学科设置调整机制和人才培养模式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研究</w:t>
      </w:r>
    </w:p>
    <w:p w14:paraId="45BECF4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  <w:t>.加强广西基础学科、新兴学科、交叉学科建设和拔尖人才培养研究</w:t>
      </w:r>
    </w:p>
    <w:p w14:paraId="6EBFCC9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/>
        </w:rPr>
        <w:t>.党的二十届三中全会精神融入广西思政课教学研究</w:t>
      </w:r>
    </w:p>
    <w:p w14:paraId="36D71C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7370282A"/>
    <w:rsid w:val="7370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2024-09-20T03:43:00Z</dcterms:created>
  <dc:creator>玉芸芸</dc:creator>
  <cp:lastModifiedBy>玉芸芸</cp:lastModifiedBy>
  <dcterms:modified xsi:type="dcterms:W3CDTF">2024-09-20T03:44:01Z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9486C24E7319455CB9996702CC40CCC7_11</vt:lpwstr>
  </property>
</Properties>
</file>