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20DC6D">
      <w:pPr>
        <w:pStyle w:val="2"/>
        <w:spacing w:line="560" w:lineRule="exact"/>
        <w:ind w:firstLine="0" w:firstLineChars="0"/>
        <w:rPr>
          <w:rFonts w:hint="default" w:ascii="黑体" w:hAnsi="黑体" w:eastAsia="黑体" w:cs="黑体"/>
          <w:color w:val="000000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黑体"/>
          <w:color w:val="000000"/>
          <w:kern w:val="0"/>
          <w:szCs w:val="32"/>
          <w:lang w:val="en-US" w:eastAsia="zh-CN"/>
        </w:rPr>
        <w:t>1</w:t>
      </w:r>
    </w:p>
    <w:p w14:paraId="06EA1C08">
      <w:pPr>
        <w:spacing w:line="560" w:lineRule="exact"/>
        <w:jc w:val="center"/>
        <w:outlineLvl w:val="0"/>
        <w:rPr>
          <w:rFonts w:hint="eastAsia" w:ascii="方正小标宋简体" w:hAnsi="宋体" w:eastAsia="方正小标宋简体" w:cs="Times New Roman"/>
          <w:spacing w:val="40"/>
          <w:sz w:val="40"/>
          <w:szCs w:val="40"/>
          <w:lang w:val="en-US" w:eastAsia="zh-CN"/>
        </w:rPr>
      </w:pPr>
    </w:p>
    <w:p w14:paraId="3165847F">
      <w:pPr>
        <w:spacing w:line="660" w:lineRule="exact"/>
        <w:jc w:val="center"/>
        <w:outlineLvl w:val="0"/>
        <w:rPr>
          <w:rFonts w:hint="eastAsia" w:ascii="方正小标宋简体" w:hAnsi="宋体" w:eastAsia="方正小标宋简体" w:cs="Times New Roman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Times New Roman"/>
          <w:spacing w:val="0"/>
          <w:sz w:val="44"/>
          <w:szCs w:val="44"/>
          <w:lang w:val="en-US" w:eastAsia="zh-CN"/>
        </w:rPr>
        <w:t>广西教育科学重点研究基地</w:t>
      </w:r>
    </w:p>
    <w:p w14:paraId="5548725B">
      <w:pPr>
        <w:spacing w:line="660" w:lineRule="exact"/>
        <w:jc w:val="center"/>
        <w:outlineLvl w:val="0"/>
        <w:rPr>
          <w:rFonts w:hint="default" w:ascii="方正小标宋简体" w:hAnsi="宋体" w:eastAsia="方正小标宋简体" w:cs="Times New Roman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spacing w:val="0"/>
          <w:sz w:val="44"/>
          <w:szCs w:val="44"/>
          <w:lang w:val="en-US" w:eastAsia="zh-CN"/>
        </w:rPr>
        <w:t>重大课题选题方向</w:t>
      </w:r>
    </w:p>
    <w:bookmarkEnd w:id="0"/>
    <w:p w14:paraId="1496A854"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5891F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.广西师范大学</w:t>
      </w:r>
    </w:p>
    <w:p w14:paraId="1C7986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选题方向：教育、科技、人才作为谱写中国式现代化广西篇章基础性、战略性支撑中的问题分析、解决思路及应对之策。</w:t>
      </w:r>
    </w:p>
    <w:p w14:paraId="7D0976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.南宁师范大学</w:t>
      </w:r>
    </w:p>
    <w:p w14:paraId="03ECD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选题方向：教育构筑支撑广西新质生产力发展的人才底座的问题分析、解决思路及应对之策。</w:t>
      </w:r>
    </w:p>
    <w:p w14:paraId="61E689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.玉林师范学院</w:t>
      </w:r>
    </w:p>
    <w:p w14:paraId="0BF4BD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选题方向：优化区域教育资源配置，不断缩小广西城乡、区域、校际、群体差距的问题分析、解决思路及应对之策。</w:t>
      </w:r>
    </w:p>
    <w:p w14:paraId="4E0760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.广西科技师范学院</w:t>
      </w:r>
    </w:p>
    <w:p w14:paraId="0C221E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选题方向：促进人工智能赋能广西教育变革的问题分析、解决思路及应对之策。</w:t>
      </w:r>
    </w:p>
    <w:p w14:paraId="3ECF33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.广西民族师范学院</w:t>
      </w:r>
    </w:p>
    <w:p w14:paraId="7CA8D7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选题方向：广西优化资源办好“国门学校”，推动边疆教育高质量发展的问题分析、解决思路及应对之策。</w:t>
      </w:r>
    </w:p>
    <w:p w14:paraId="79E417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.河池学院</w:t>
      </w:r>
    </w:p>
    <w:p w14:paraId="39AE7A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sectPr>
          <w:pgSz w:w="11905" w:h="16838"/>
          <w:pgMar w:top="2098" w:right="1474" w:bottom="1984" w:left="1587" w:header="1020" w:footer="1559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rtlGutter w:val="0"/>
          <w:docGrid w:type="lines" w:linePitch="319" w:charSpace="0"/>
        </w:sect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选题方向：广西民族优秀传统文化赋能铸牢中华民族共同体意</w:t>
      </w:r>
    </w:p>
    <w:p w14:paraId="71AED4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识教育的问题分析、解决思路及应对之策。</w:t>
      </w:r>
    </w:p>
    <w:p w14:paraId="534C50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.广西体育高等专科学校</w:t>
      </w:r>
    </w:p>
    <w:p w14:paraId="6663ED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选题方向：新形势新阶段广西中小学生体质健康管理的问题分析、解决思路及应对之策。</w:t>
      </w:r>
    </w:p>
    <w:p w14:paraId="74F4A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.南宁职业技术大学</w:t>
      </w:r>
    </w:p>
    <w:p w14:paraId="1E491C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选题方向：广西“高职”升本后的内涵建设与高水平教育对外开放（出海）的问题分析、解决思路及应对之策。</w:t>
      </w:r>
    </w:p>
    <w:p w14:paraId="38B239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9</w:t>
      </w: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.柳州城市职业学院</w:t>
      </w:r>
    </w:p>
    <w:p w14:paraId="36114F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16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000000"/>
          <w:spacing w:val="-6"/>
          <w:kern w:val="0"/>
          <w:sz w:val="32"/>
          <w:szCs w:val="32"/>
          <w:lang w:val="en-US" w:eastAsia="zh-CN" w:bidi="ar-SA"/>
        </w:rPr>
        <w:t>选题方向：广西打造职普融通、产教融合的职业教育新赛道新机制新模式的问题分析、解决思路及应对之策。</w:t>
      </w:r>
    </w:p>
    <w:p w14:paraId="20C203F9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3FBEC42B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210514C1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7821CDEC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30152E55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378CCB2D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4C13C0E3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7BB6A255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1852A4ED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1404BF9A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4F981FD4">
      <w:pPr>
        <w:pStyle w:val="2"/>
        <w:ind w:firstLine="0" w:firstLineChars="0"/>
        <w:rPr>
          <w:rFonts w:hint="eastAsia" w:ascii="黑体" w:hAnsi="黑体" w:eastAsia="黑体" w:cs="黑体"/>
          <w:color w:val="000000"/>
          <w:kern w:val="0"/>
          <w:szCs w:val="32"/>
        </w:rPr>
      </w:pPr>
    </w:p>
    <w:p w14:paraId="5D6E043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5D1E0146"/>
    <w:rsid w:val="5D1E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2024-09-20T03:42:00Z</dcterms:created>
  <dc:creator>玉芸芸</dc:creator>
  <cp:lastModifiedBy>玉芸芸</cp:lastModifiedBy>
  <dcterms:modified xsi:type="dcterms:W3CDTF">2024-09-20T03:43:06Z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DD04BF53503D4B0D8BD8B452E92683FB_11</vt:lpwstr>
  </property>
</Properties>
</file>