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kinsoku/>
        <w:autoSpaceDE/>
        <w:autoSpaceDN/>
        <w:adjustRightInd/>
        <w:snapToGrid/>
        <w:spacing w:before="156" w:beforeLines="50" w:after="156" w:afterLines="50" w:line="400" w:lineRule="exact"/>
        <w:jc w:val="left"/>
        <w:textAlignment w:val="auto"/>
        <w:rPr>
          <w:rFonts w:hint="eastAsia" w:ascii="宋体" w:hAnsi="宋体" w:eastAsia="宋体" w:cs="宋体"/>
          <w:b/>
          <w:bCs/>
          <w:snapToGrid/>
          <w:kern w:val="0"/>
          <w:sz w:val="24"/>
          <w:szCs w:val="24"/>
        </w:rPr>
      </w:pPr>
      <w:r>
        <w:rPr>
          <w:rFonts w:hint="eastAsia" w:ascii="宋体" w:hAnsi="宋体" w:eastAsia="宋体" w:cs="宋体"/>
          <w:b/>
          <w:bCs/>
          <w:snapToGrid/>
          <w:kern w:val="0"/>
          <w:sz w:val="24"/>
          <w:szCs w:val="24"/>
        </w:rPr>
        <w:t>附件:拟转让专利简介</w:t>
      </w:r>
    </w:p>
    <w:p>
      <w:pPr>
        <w:spacing w:before="91" w:line="419" w:lineRule="exact"/>
        <w:jc w:val="both"/>
        <w:rPr>
          <w:rFonts w:ascii="Times New Roman" w:hAnsi="Times New Roman" w:cs="Times New Roman" w:eastAsiaTheme="minorEastAsia"/>
          <w:spacing w:val="-1"/>
          <w:position w:val="5"/>
          <w:sz w:val="24"/>
          <w:szCs w:val="24"/>
        </w:rPr>
      </w:pPr>
    </w:p>
    <w:p>
      <w:pPr>
        <w:widowControl w:val="0"/>
        <w:kinsoku/>
        <w:autoSpaceDE/>
        <w:autoSpaceDN/>
        <w:adjustRightInd/>
        <w:snapToGrid/>
        <w:spacing w:line="360" w:lineRule="auto"/>
        <w:jc w:val="both"/>
        <w:textAlignment w:val="auto"/>
        <w:rPr>
          <w:rFonts w:hint="eastAsia" w:ascii="宋体" w:hAnsi="宋体" w:eastAsia="宋体" w:cs="Times New Roman"/>
          <w:snapToGrid/>
          <w:color w:val="000000"/>
          <w:kern w:val="0"/>
          <w:sz w:val="24"/>
          <w:szCs w:val="24"/>
        </w:rPr>
      </w:pPr>
      <w:bookmarkStart w:id="0" w:name="_GoBack"/>
      <w:bookmarkEnd w:id="0"/>
      <w:r>
        <w:rPr>
          <w:rFonts w:hint="eastAsia" w:ascii="宋体" w:hAnsi="宋体" w:eastAsia="宋体" w:cs="Times New Roman"/>
          <w:b/>
          <w:bCs/>
          <w:snapToGrid/>
          <w:color w:val="000000"/>
          <w:kern w:val="0"/>
          <w:sz w:val="24"/>
          <w:szCs w:val="24"/>
        </w:rPr>
        <w:t>技术领域</w:t>
      </w:r>
    </w:p>
    <w:p>
      <w:pPr>
        <w:widowControl w:val="0"/>
        <w:kinsoku/>
        <w:autoSpaceDE/>
        <w:autoSpaceDN/>
        <w:adjustRightInd/>
        <w:snapToGrid/>
        <w:spacing w:line="360" w:lineRule="auto"/>
        <w:ind w:firstLine="480" w:firstLineChars="200"/>
        <w:jc w:val="both"/>
        <w:textAlignment w:val="auto"/>
        <w:rPr>
          <w:rFonts w:hint="eastAsia" w:ascii="宋体" w:hAnsi="宋体" w:eastAsia="宋体" w:cs="Times New Roman"/>
          <w:snapToGrid/>
          <w:color w:val="000000"/>
          <w:kern w:val="0"/>
          <w:sz w:val="24"/>
          <w:szCs w:val="24"/>
        </w:rPr>
      </w:pPr>
      <w:r>
        <w:rPr>
          <w:rFonts w:hint="eastAsia" w:ascii="宋体" w:hAnsi="宋体" w:eastAsia="宋体" w:cs="Times New Roman"/>
          <w:snapToGrid/>
          <w:color w:val="000000"/>
          <w:kern w:val="0"/>
          <w:sz w:val="24"/>
          <w:szCs w:val="24"/>
        </w:rPr>
        <w:t>本发明涉及电催化水分解技术领域，具体为一种Co4S3</w:t>
      </w:r>
      <w:r>
        <w:rPr>
          <w:rFonts w:hint="eastAsia" w:ascii="宋体" w:hAnsi="宋体" w:eastAsia="宋体" w:cs="Times New Roman"/>
          <w:snapToGrid/>
          <w:color w:val="000000"/>
          <w:kern w:val="0"/>
          <w:sz w:val="24"/>
          <w:szCs w:val="24"/>
        </w:rPr>
        <w:noBreakHyphen/>
      </w:r>
      <w:r>
        <w:rPr>
          <w:rFonts w:hint="eastAsia" w:ascii="宋体" w:hAnsi="宋体" w:eastAsia="宋体" w:cs="Times New Roman"/>
          <w:snapToGrid/>
          <w:color w:val="000000"/>
          <w:kern w:val="0"/>
          <w:sz w:val="24"/>
          <w:szCs w:val="24"/>
        </w:rPr>
        <w:t>WS2析氧析氢电催化剂制备方法，通过简单的水热以及硫化处理的方法得到的Co4S3</w:t>
      </w:r>
      <w:r>
        <w:rPr>
          <w:rFonts w:hint="eastAsia" w:ascii="宋体" w:hAnsi="宋体" w:eastAsia="宋体" w:cs="Times New Roman"/>
          <w:snapToGrid/>
          <w:color w:val="000000"/>
          <w:kern w:val="0"/>
          <w:sz w:val="24"/>
          <w:szCs w:val="24"/>
        </w:rPr>
        <w:noBreakHyphen/>
      </w:r>
      <w:r>
        <w:rPr>
          <w:rFonts w:hint="eastAsia" w:ascii="宋体" w:hAnsi="宋体" w:eastAsia="宋体" w:cs="Times New Roman"/>
          <w:snapToGrid/>
          <w:color w:val="000000"/>
          <w:kern w:val="0"/>
          <w:sz w:val="24"/>
          <w:szCs w:val="24"/>
        </w:rPr>
        <w:t>WS2复合材料，所述水热是将钴和钨长在碳布上，获得钴钨基前驱体，将所得的钴钨基前驱体在氮气气氛下进行硫化处理。本发明制备方法简单，通过在碳布上进行简单水热和硫化处理得到Co4S3</w:t>
      </w:r>
      <w:r>
        <w:rPr>
          <w:rFonts w:hint="eastAsia" w:ascii="宋体" w:hAnsi="宋体" w:eastAsia="宋体" w:cs="Times New Roman"/>
          <w:snapToGrid/>
          <w:color w:val="000000"/>
          <w:kern w:val="0"/>
          <w:sz w:val="24"/>
          <w:szCs w:val="24"/>
        </w:rPr>
        <w:noBreakHyphen/>
      </w:r>
      <w:r>
        <w:rPr>
          <w:rFonts w:hint="eastAsia" w:ascii="宋体" w:hAnsi="宋体" w:eastAsia="宋体" w:cs="Times New Roman"/>
          <w:snapToGrid/>
          <w:color w:val="000000"/>
          <w:kern w:val="0"/>
          <w:sz w:val="24"/>
          <w:szCs w:val="24"/>
        </w:rPr>
        <w:t>WS2复合材料，在碱性条件下具有优异的电催化析氧析氢性能，且使用寿命长。</w:t>
      </w:r>
    </w:p>
    <w:p>
      <w:pPr>
        <w:widowControl w:val="0"/>
        <w:kinsoku/>
        <w:autoSpaceDE/>
        <w:autoSpaceDN/>
        <w:adjustRightInd/>
        <w:snapToGrid/>
        <w:spacing w:line="360" w:lineRule="auto"/>
        <w:ind w:firstLine="480" w:firstLineChars="200"/>
        <w:jc w:val="both"/>
        <w:textAlignment w:val="auto"/>
        <w:rPr>
          <w:rFonts w:hint="eastAsia" w:ascii="宋体" w:hAnsi="宋体" w:eastAsia="宋体" w:cs="Times New Roman"/>
          <w:snapToGrid/>
          <w:color w:val="000000"/>
          <w:kern w:val="0"/>
          <w:sz w:val="24"/>
          <w:szCs w:val="24"/>
        </w:rPr>
      </w:pPr>
    </w:p>
    <w:p>
      <w:pPr>
        <w:widowControl w:val="0"/>
        <w:kinsoku/>
        <w:autoSpaceDE/>
        <w:autoSpaceDN/>
        <w:adjustRightInd/>
        <w:snapToGrid/>
        <w:spacing w:line="360" w:lineRule="auto"/>
        <w:jc w:val="both"/>
        <w:textAlignment w:val="auto"/>
        <w:rPr>
          <w:rFonts w:hint="eastAsia" w:ascii="宋体" w:hAnsi="宋体" w:eastAsia="宋体" w:cs="Times New Roman"/>
          <w:b/>
          <w:bCs/>
          <w:snapToGrid/>
          <w:color w:val="000000"/>
          <w:kern w:val="0"/>
          <w:sz w:val="24"/>
          <w:szCs w:val="24"/>
        </w:rPr>
      </w:pPr>
      <w:r>
        <w:rPr>
          <w:rFonts w:hint="eastAsia" w:ascii="宋体" w:hAnsi="宋体" w:eastAsia="宋体" w:cs="Times New Roman"/>
          <w:b/>
          <w:bCs/>
          <w:snapToGrid/>
          <w:color w:val="000000"/>
          <w:kern w:val="0"/>
          <w:sz w:val="24"/>
          <w:szCs w:val="24"/>
        </w:rPr>
        <w:t>背景技术</w:t>
      </w:r>
    </w:p>
    <w:p>
      <w:pPr>
        <w:widowControl w:val="0"/>
        <w:kinsoku/>
        <w:autoSpaceDE/>
        <w:autoSpaceDN/>
        <w:adjustRightInd/>
        <w:snapToGrid/>
        <w:spacing w:line="360" w:lineRule="auto"/>
        <w:ind w:firstLine="480" w:firstLineChars="200"/>
        <w:jc w:val="both"/>
        <w:textAlignment w:val="auto"/>
        <w:rPr>
          <w:rFonts w:hint="eastAsia" w:ascii="宋体" w:hAnsi="宋体" w:eastAsia="宋体" w:cs="Times New Roman"/>
          <w:snapToGrid/>
          <w:color w:val="000000"/>
          <w:kern w:val="0"/>
          <w:sz w:val="24"/>
          <w:szCs w:val="24"/>
          <w:lang w:eastAsia="zh-CN"/>
        </w:rPr>
      </w:pPr>
      <w:r>
        <w:rPr>
          <w:rFonts w:hint="eastAsia" w:ascii="宋体" w:hAnsi="宋体" w:eastAsia="宋体" w:cs="Times New Roman"/>
          <w:snapToGrid/>
          <w:color w:val="000000"/>
          <w:kern w:val="0"/>
          <w:sz w:val="24"/>
          <w:szCs w:val="24"/>
        </w:rPr>
        <w:t>随着人口的增长和经济的发展，在可预见的未来，全球能源需求将持续增长，清洁和可再生能源引起了人们越来越多的关注。然而，目前使用的能源主要是化石燃料，包括煤，石油，天然气等一些不可再生能源。不可再生化石能源的过度开采和使用不仅造成能源的日益紧缺，还给环境带来不可逆的破坏。因此，开发高效、安全、可持续的清洁能源迫在眉睫。在能源转化技术中，电化学水分解制氢被认为是目前最有前途的制氢方法之一。水分解是由阳极析氧反应（OER）和阴极析氢反应（HER）反应组成。然而在析氧反应中，由于动力学缓慢导致的电势过高，从而极大地限制了析氧反应的效率。近年来，地球上丰富的过渡金属引起了科学家们的广泛研究和关注，其中贵金属钌和铂基电催化剂分别在析氧和析氢反应中表现出较好的电催化性能，但是由于稀缺性和高成本等缺点限制了它们的大规模实际应用。因此，为了实现电解水的工业化，迫切需要开发出有效且丰富的非贵金属基电催化剂来替代传统贵金属基催化剂</w:t>
      </w:r>
      <w:r>
        <w:rPr>
          <w:rFonts w:hint="eastAsia" w:ascii="宋体" w:hAnsi="宋体" w:eastAsia="宋体" w:cs="Times New Roman"/>
          <w:snapToGrid/>
          <w:color w:val="000000"/>
          <w:kern w:val="0"/>
          <w:sz w:val="24"/>
          <w:szCs w:val="24"/>
          <w:lang w:eastAsia="zh-CN"/>
        </w:rPr>
        <w:t>。</w:t>
      </w:r>
    </w:p>
    <w:p>
      <w:pPr>
        <w:widowControl w:val="0"/>
        <w:kinsoku/>
        <w:autoSpaceDE/>
        <w:autoSpaceDN/>
        <w:adjustRightInd/>
        <w:snapToGrid/>
        <w:spacing w:line="360" w:lineRule="auto"/>
        <w:jc w:val="both"/>
        <w:textAlignment w:val="auto"/>
        <w:rPr>
          <w:rFonts w:hint="eastAsia" w:ascii="宋体" w:hAnsi="宋体" w:eastAsia="宋体" w:cs="Times New Roman"/>
          <w:b/>
          <w:bCs/>
          <w:snapToGrid/>
          <w:color w:val="000000"/>
          <w:kern w:val="0"/>
          <w:sz w:val="24"/>
          <w:szCs w:val="24"/>
        </w:rPr>
      </w:pPr>
      <w:r>
        <w:rPr>
          <w:rFonts w:hint="eastAsia" w:ascii="宋体" w:hAnsi="宋体" w:eastAsia="宋体" w:cs="Times New Roman"/>
          <w:b/>
          <w:bCs/>
          <w:snapToGrid/>
          <w:color w:val="000000"/>
          <w:kern w:val="0"/>
          <w:sz w:val="24"/>
          <w:szCs w:val="24"/>
        </w:rPr>
        <w:t>发明内容</w:t>
      </w:r>
    </w:p>
    <w:p>
      <w:pPr>
        <w:widowControl w:val="0"/>
        <w:kinsoku/>
        <w:autoSpaceDE/>
        <w:autoSpaceDN/>
        <w:adjustRightInd/>
        <w:snapToGrid/>
        <w:spacing w:line="360" w:lineRule="auto"/>
        <w:ind w:firstLine="480" w:firstLineChars="200"/>
        <w:jc w:val="both"/>
        <w:textAlignment w:val="auto"/>
        <w:rPr>
          <w:rFonts w:hint="eastAsia" w:ascii="宋体" w:hAnsi="宋体" w:eastAsia="宋体" w:cs="Times New Roman"/>
          <w:snapToGrid/>
          <w:color w:val="000000"/>
          <w:kern w:val="0"/>
          <w:sz w:val="24"/>
          <w:szCs w:val="24"/>
        </w:rPr>
      </w:pPr>
      <w:r>
        <w:rPr>
          <w:rFonts w:hint="eastAsia" w:ascii="宋体" w:hAnsi="宋体" w:eastAsia="宋体" w:cs="Times New Roman"/>
          <w:snapToGrid/>
          <w:color w:val="000000"/>
          <w:kern w:val="0"/>
          <w:sz w:val="24"/>
          <w:szCs w:val="24"/>
        </w:rPr>
        <w:t>本发明的目的在于提供一种Co4S3</w:t>
      </w:r>
      <w:r>
        <w:rPr>
          <w:rFonts w:hint="eastAsia" w:ascii="宋体" w:hAnsi="宋体" w:eastAsia="宋体" w:cs="Times New Roman"/>
          <w:snapToGrid/>
          <w:color w:val="000000"/>
          <w:kern w:val="0"/>
          <w:sz w:val="24"/>
          <w:szCs w:val="24"/>
        </w:rPr>
        <w:noBreakHyphen/>
      </w:r>
      <w:r>
        <w:rPr>
          <w:rFonts w:hint="eastAsia" w:ascii="宋体" w:hAnsi="宋体" w:eastAsia="宋体" w:cs="Times New Roman"/>
          <w:snapToGrid/>
          <w:color w:val="000000"/>
          <w:kern w:val="0"/>
          <w:sz w:val="24"/>
          <w:szCs w:val="24"/>
        </w:rPr>
        <w:t>WS2析氧析氢电催化剂制备方法，解决上述背景技术中提出的问题。为实现上述目的，本发明提供如下技术方案：一种Co4S3</w:t>
      </w:r>
      <w:r>
        <w:rPr>
          <w:rFonts w:hint="eastAsia" w:ascii="宋体" w:hAnsi="宋体" w:eastAsia="宋体" w:cs="Times New Roman"/>
          <w:snapToGrid/>
          <w:color w:val="000000"/>
          <w:kern w:val="0"/>
          <w:sz w:val="24"/>
          <w:szCs w:val="24"/>
        </w:rPr>
        <w:noBreakHyphen/>
      </w:r>
      <w:r>
        <w:rPr>
          <w:rFonts w:hint="eastAsia" w:ascii="宋体" w:hAnsi="宋体" w:eastAsia="宋体" w:cs="Times New Roman"/>
          <w:snapToGrid/>
          <w:color w:val="000000"/>
          <w:kern w:val="0"/>
          <w:sz w:val="24"/>
          <w:szCs w:val="24"/>
        </w:rPr>
        <w:t>WS2析氧析氢电催化剂制备方法，是包括了水热反应以及硫化处理，所述水热反应是将钴和钨长在碳布上，获得钴钨基前驱体；然后对所述钴钨基前驱体进行所述硫化处理，得到Co4S3</w:t>
      </w:r>
      <w:r>
        <w:rPr>
          <w:rFonts w:hint="eastAsia" w:ascii="宋体" w:hAnsi="宋体" w:eastAsia="宋体" w:cs="Times New Roman"/>
          <w:snapToGrid/>
          <w:color w:val="000000"/>
          <w:kern w:val="0"/>
          <w:sz w:val="24"/>
          <w:szCs w:val="24"/>
        </w:rPr>
        <w:noBreakHyphen/>
      </w:r>
      <w:r>
        <w:rPr>
          <w:rFonts w:hint="eastAsia" w:ascii="宋体" w:hAnsi="宋体" w:eastAsia="宋体" w:cs="Times New Roman"/>
          <w:snapToGrid/>
          <w:color w:val="000000"/>
          <w:kern w:val="0"/>
          <w:sz w:val="24"/>
          <w:szCs w:val="24"/>
        </w:rPr>
        <w:t>WS2复合材料。进一步的，所述水热反应包括将六水合氯化钴，偏钨酸铵和聚合物F127超声溶解在去离子水中，以此得到钴钨基前驱体溶液。进一步的，所述水热反应的温度为200  ℃，反应时间为6 h。进一步的，所述硫化处理在氮气的气氛下，温度为400  ℃~600  ℃，时间为2  h。与现有技术相比，本发明的有益效果是：本发明制备方法简单，通过在碳布上进行简单的水热和硫化处理得到Co4S3</w:t>
      </w:r>
      <w:r>
        <w:rPr>
          <w:rFonts w:hint="eastAsia" w:ascii="宋体" w:hAnsi="宋体" w:eastAsia="宋体" w:cs="Times New Roman"/>
          <w:snapToGrid/>
          <w:color w:val="000000"/>
          <w:kern w:val="0"/>
          <w:sz w:val="24"/>
          <w:szCs w:val="24"/>
        </w:rPr>
        <w:noBreakHyphen/>
      </w:r>
      <w:r>
        <w:rPr>
          <w:rFonts w:hint="eastAsia" w:ascii="宋体" w:hAnsi="宋体" w:eastAsia="宋体" w:cs="Times New Roman"/>
          <w:snapToGrid/>
          <w:color w:val="000000"/>
          <w:kern w:val="0"/>
          <w:sz w:val="24"/>
          <w:szCs w:val="24"/>
        </w:rPr>
        <w:t>WS2复合材料，在碱性条件下具有优异的电催化析氧析氢性能，且使用寿命长。</w:t>
      </w:r>
    </w:p>
    <w:sectPr>
      <w:headerReference r:id="rId3" w:type="default"/>
      <w:footerReference r:id="rId4" w:type="default"/>
      <w:pgSz w:w="11900" w:h="16840"/>
      <w:pgMar w:top="1106" w:right="1269" w:bottom="400" w:left="1275" w:header="713"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220" w:lineRule="auto"/>
      <w:ind w:left="3992"/>
      <w:rPr>
        <w:rFonts w:ascii="黑体" w:hAnsi="黑体" w:eastAsia="黑体" w:cs="黑体"/>
        <w:sz w:val="28"/>
        <w:szCs w:val="28"/>
      </w:rPr>
    </w:pPr>
    <w:r>
      <mc:AlternateContent>
        <mc:Choice Requires="wps">
          <w:drawing>
            <wp:anchor distT="0" distB="0" distL="114300" distR="114300" simplePos="0" relativeHeight="251660288" behindDoc="0" locked="0" layoutInCell="1" allowOverlap="1">
              <wp:simplePos x="0" y="0"/>
              <wp:positionH relativeFrom="column">
                <wp:posOffset>5546090</wp:posOffset>
              </wp:positionH>
              <wp:positionV relativeFrom="paragraph">
                <wp:posOffset>60960</wp:posOffset>
              </wp:positionV>
              <wp:extent cx="388620" cy="186055"/>
              <wp:effectExtent l="2540" t="3810" r="0" b="635"/>
              <wp:wrapNone/>
              <wp:docPr id="2" name="Text Box 1025"/>
              <wp:cNvGraphicFramePr/>
              <a:graphic xmlns:a="http://schemas.openxmlformats.org/drawingml/2006/main">
                <a:graphicData uri="http://schemas.microsoft.com/office/word/2010/wordprocessingShape">
                  <wps:wsp>
                    <wps:cNvSpPr txBox="1">
                      <a:spLocks noChangeArrowheads="1"/>
                    </wps:cNvSpPr>
                    <wps:spPr bwMode="auto">
                      <a:xfrm>
                        <a:off x="0" y="0"/>
                        <a:ext cx="388620" cy="186055"/>
                      </a:xfrm>
                      <a:prstGeom prst="rect">
                        <a:avLst/>
                      </a:prstGeom>
                      <a:noFill/>
                      <a:ln>
                        <a:noFill/>
                      </a:ln>
                    </wps:spPr>
                    <wps:txbx>
                      <w:txbxContent>
                        <w:p>
                          <w:pPr>
                            <w:spacing w:before="20" w:line="222" w:lineRule="auto"/>
                            <w:rPr>
                              <w:rFonts w:ascii="宋体" w:hAnsi="宋体" w:eastAsia="宋体" w:cs="宋体"/>
                            </w:rPr>
                          </w:pPr>
                        </w:p>
                      </w:txbxContent>
                    </wps:txbx>
                    <wps:bodyPr rot="0" vert="horz" wrap="square" lIns="0" tIns="0" rIns="0" bIns="0" anchor="t" anchorCtr="0" upright="1">
                      <a:noAutofit/>
                    </wps:bodyPr>
                  </wps:wsp>
                </a:graphicData>
              </a:graphic>
            </wp:anchor>
          </w:drawing>
        </mc:Choice>
        <mc:Fallback>
          <w:pict>
            <v:shape id="Text Box 1025" o:spid="_x0000_s1026" o:spt="202" type="#_x0000_t202" style="position:absolute;left:0pt;margin-left:436.7pt;margin-top:4.8pt;height:14.65pt;width:30.6pt;z-index:251660288;mso-width-relative:page;mso-height-relative:page;" filled="f" stroked="f" coordsize="21600,21600" o:gfxdata="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s8saydgAAAAIAQAADwAAAAAAAAABACAAAAAiAAAAZHJzL2Rvd25y&#10;ZXYueG1sUEsBAhQAFAAAAAgAh07iQLz+Bpr+AQAABgQAAA4AAAAAAAAAAQAgAAAAJwEAAGRycy9l&#10;Mm9Eb2MueG1sUEsFBgAAAAAGAAYAWQEAAJcFAAAAAA==&#10;">
              <v:fill on="f" focussize="0,0"/>
              <v:stroke on="f"/>
              <v:imagedata o:title=""/>
              <o:lock v:ext="edit" aspectratio="f"/>
              <v:textbox inset="0mm,0mm,0mm,0mm">
                <w:txbxContent>
                  <w:p>
                    <w:pPr>
                      <w:spacing w:before="20" w:line="222" w:lineRule="auto"/>
                      <w:rPr>
                        <w:rFonts w:ascii="宋体" w:hAnsi="宋体" w:eastAsia="宋体" w:cs="宋体"/>
                      </w:rPr>
                    </w:pP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-8255</wp:posOffset>
              </wp:positionH>
              <wp:positionV relativeFrom="paragraph">
                <wp:posOffset>80645</wp:posOffset>
              </wp:positionV>
              <wp:extent cx="955040" cy="160020"/>
              <wp:effectExtent l="1270" t="4445" r="0" b="0"/>
              <wp:wrapNone/>
              <wp:docPr id="1" name="Text Box 1026"/>
              <wp:cNvGraphicFramePr/>
              <a:graphic xmlns:a="http://schemas.openxmlformats.org/drawingml/2006/main">
                <a:graphicData uri="http://schemas.microsoft.com/office/word/2010/wordprocessingShape">
                  <wps:wsp>
                    <wps:cNvSpPr txBox="1">
                      <a:spLocks noChangeArrowheads="1"/>
                    </wps:cNvSpPr>
                    <wps:spPr bwMode="auto">
                      <a:xfrm>
                        <a:off x="0" y="0"/>
                        <a:ext cx="955040" cy="160020"/>
                      </a:xfrm>
                      <a:prstGeom prst="rect">
                        <a:avLst/>
                      </a:prstGeom>
                      <a:noFill/>
                      <a:ln>
                        <a:noFill/>
                      </a:ln>
                    </wps:spPr>
                    <wps:txbx>
                      <w:txbxContent>
                        <w:p>
                          <w:pPr>
                            <w:spacing w:before="19" w:line="186" w:lineRule="auto"/>
                            <w:ind w:left="20"/>
                            <w:rPr>
                              <w:rFonts w:ascii="宋体" w:hAnsi="宋体" w:eastAsia="宋体" w:cs="宋体"/>
                            </w:rPr>
                          </w:pPr>
                        </w:p>
                      </w:txbxContent>
                    </wps:txbx>
                    <wps:bodyPr rot="0" vert="horz" wrap="square" lIns="0" tIns="0" rIns="0" bIns="0" anchor="t" anchorCtr="0" upright="1">
                      <a:noAutofit/>
                    </wps:bodyPr>
                  </wps:wsp>
                </a:graphicData>
              </a:graphic>
            </wp:anchor>
          </w:drawing>
        </mc:Choice>
        <mc:Fallback>
          <w:pict>
            <v:shape id="Text Box 1026" o:spid="_x0000_s1026" o:spt="202" type="#_x0000_t202" style="position:absolute;left:0pt;margin-left:-0.65pt;margin-top:6.35pt;height:12.6pt;width:75.2pt;z-index:251659264;mso-width-relative:page;mso-height-relative:page;" filled="f" stroked="f" coordsize="21600,21600" o:gfxdata="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phkl19gAAAAIAQAADwAAAAAAAAABACAAAAAiAAAAZHJzL2Rvd25y&#10;ZXYueG1sUEsBAhQAFAAAAAgAh07iQAhUpvn+AQAABgQAAA4AAAAAAAAAAQAgAAAAJwEAAGRycy9l&#10;Mm9Eb2MueG1sUEsFBgAAAAAGAAYAWQEAAJcFAAAAAA==&#10;">
              <v:fill on="f" focussize="0,0"/>
              <v:stroke on="f"/>
              <v:imagedata o:title=""/>
              <o:lock v:ext="edit" aspectratio="f"/>
              <v:textbox inset="0mm,0mm,0mm,0mm">
                <w:txbxContent>
                  <w:p>
                    <w:pPr>
                      <w:spacing w:before="19" w:line="186" w:lineRule="auto"/>
                      <w:ind w:left="20"/>
                      <w:rPr>
                        <w:rFonts w:ascii="宋体" w:hAnsi="宋体" w:eastAsia="宋体" w:cs="宋体"/>
                      </w:rPr>
                    </w:pPr>
                  </w:p>
                </w:txbxContent>
              </v:textbox>
            </v:shape>
          </w:pict>
        </mc:Fallback>
      </mc:AlternateContent>
    </w:r>
  </w:p>
  <w:p>
    <w:pPr>
      <w:spacing w:before="37" w:line="20" w:lineRule="exact"/>
      <w:textAlignment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displayBackgroundShape w:val="1"/>
  <w:bordersDoNotSurroundHeader w:val="1"/>
  <w:bordersDoNotSurroundFooter w:val="1"/>
  <w:documentProtection w:enforcement="0"/>
  <w:defaultTabStop w:val="420"/>
  <w:characterSpacingControl w:val="doNotCompress"/>
  <w:compat>
    <w:spaceForUL/>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MxOTg2ZTY4YjJiYzY2ZTBiNTJiYjYzODVhMTUzNTMifQ=="/>
  </w:docVars>
  <w:rsids>
    <w:rsidRoot w:val="002751BC"/>
    <w:rsid w:val="0000629A"/>
    <w:rsid w:val="002751BC"/>
    <w:rsid w:val="006561C3"/>
    <w:rsid w:val="00685E61"/>
    <w:rsid w:val="006F4635"/>
    <w:rsid w:val="0074065D"/>
    <w:rsid w:val="0082235C"/>
    <w:rsid w:val="00CB1468"/>
    <w:rsid w:val="00D349CF"/>
    <w:rsid w:val="1175405C"/>
    <w:rsid w:val="3B901788"/>
    <w:rsid w:val="3DEB1E86"/>
    <w:rsid w:val="3EBA0CDF"/>
    <w:rsid w:val="431B339F"/>
    <w:rsid w:val="561F72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3">
    <w:name w:val="Default Paragraph Font"/>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937</Words>
  <Characters>1008</Characters>
  <Lines>7</Lines>
  <Paragraphs>2</Paragraphs>
  <TotalTime>19</TotalTime>
  <ScaleCrop>false</ScaleCrop>
  <LinksUpToDate>false</LinksUpToDate>
  <CharactersWithSpaces>1017</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2022-11-28T07:31:00Z</dcterms:created>
  <dc:creator>admin</dc:creator>
  <cp:lastModifiedBy>Administrator</cp:lastModifiedBy>
  <dcterms:modified xsi:type="dcterms:W3CDTF">2022-12-08T01:56:02Z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2022-08-02T15:09:06Z</vt:filetime>
  </property>
  <property fmtid="{D5CDD505-2E9C-101B-9397-08002B2CF9AE}" pid="4" name="KSOProductBuildVer">
    <vt:lpwstr>2052-11.1.0.12980</vt:lpwstr>
  </property>
  <property fmtid="{D5CDD505-2E9C-101B-9397-08002B2CF9AE}" pid="5" name="ICV">
    <vt:lpwstr>E3B7A8CAD05C43068A792CB7D9D1A626</vt:lpwstr>
  </property>
</Properties>
</file>