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color w:val="333333"/>
          <w:sz w:val="30"/>
          <w:szCs w:val="30"/>
        </w:rPr>
      </w:pPr>
      <w:r>
        <w:rPr>
          <w:rFonts w:hint="eastAsia" w:ascii="黑体" w:hAnsi="黑体" w:eastAsia="黑体" w:cs="黑体"/>
          <w:color w:val="333333"/>
          <w:sz w:val="30"/>
          <w:szCs w:val="30"/>
        </w:rPr>
        <w:t>附件1：</w:t>
      </w:r>
    </w:p>
    <w:p>
      <w:pPr>
        <w:jc w:val="center"/>
        <w:rPr>
          <w:rFonts w:ascii="黑体" w:hAnsi="黑体" w:eastAsia="黑体" w:cs="黑体"/>
          <w:b/>
          <w:bCs/>
          <w:color w:val="333333"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color w:val="333333"/>
          <w:sz w:val="40"/>
          <w:szCs w:val="40"/>
        </w:rPr>
        <w:t>比赛日程安排</w:t>
      </w:r>
    </w:p>
    <w:tbl>
      <w:tblPr>
        <w:tblStyle w:val="5"/>
        <w:tblW w:w="522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7"/>
        <w:gridCol w:w="2444"/>
        <w:gridCol w:w="4252"/>
        <w:gridCol w:w="1701"/>
        <w:gridCol w:w="4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647" w:type="pct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333333"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40"/>
                <w:szCs w:val="40"/>
              </w:rPr>
              <w:t>比赛环节</w:t>
            </w:r>
          </w:p>
        </w:tc>
        <w:tc>
          <w:tcPr>
            <w:tcW w:w="825" w:type="pct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333333"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40"/>
                <w:szCs w:val="40"/>
              </w:rPr>
              <w:t>时间</w:t>
            </w:r>
          </w:p>
        </w:tc>
        <w:tc>
          <w:tcPr>
            <w:tcW w:w="1435" w:type="pct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333333"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40"/>
                <w:szCs w:val="40"/>
              </w:rPr>
              <w:t>地点</w:t>
            </w:r>
          </w:p>
        </w:tc>
        <w:tc>
          <w:tcPr>
            <w:tcW w:w="574" w:type="pct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333333"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40"/>
                <w:szCs w:val="40"/>
              </w:rPr>
              <w:t>形式</w:t>
            </w:r>
          </w:p>
        </w:tc>
        <w:tc>
          <w:tcPr>
            <w:tcW w:w="1519" w:type="pct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333333"/>
                <w:sz w:val="40"/>
                <w:szCs w:val="4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sz w:val="40"/>
                <w:szCs w:val="40"/>
              </w:rPr>
              <w:t>参赛相关要求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党务基本</w:t>
            </w:r>
          </w:p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知识测试</w:t>
            </w:r>
          </w:p>
        </w:tc>
        <w:tc>
          <w:tcPr>
            <w:tcW w:w="82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7月12日</w:t>
            </w:r>
          </w:p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（星期二）</w:t>
            </w:r>
          </w:p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下午</w:t>
            </w:r>
            <w:r>
              <w:rPr>
                <w:rFonts w:ascii="仿宋" w:hAnsi="仿宋" w:eastAsia="仿宋" w:cs="仿宋"/>
                <w:color w:val="333333"/>
                <w:sz w:val="30"/>
                <w:szCs w:val="30"/>
              </w:rPr>
              <w:t>3</w:t>
            </w: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:00</w:t>
            </w:r>
            <w:r>
              <w:rPr>
                <w:rFonts w:ascii="仿宋" w:hAnsi="仿宋" w:eastAsia="仿宋" w:cs="仿宋"/>
                <w:color w:val="333333"/>
                <w:sz w:val="30"/>
                <w:szCs w:val="30"/>
              </w:rPr>
              <w:t>-4</w:t>
            </w: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:30</w:t>
            </w:r>
          </w:p>
        </w:tc>
        <w:tc>
          <w:tcPr>
            <w:tcW w:w="143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育才校区理科楼001教室</w:t>
            </w:r>
          </w:p>
        </w:tc>
        <w:tc>
          <w:tcPr>
            <w:tcW w:w="574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闭卷考试</w:t>
            </w:r>
          </w:p>
        </w:tc>
        <w:tc>
          <w:tcPr>
            <w:tcW w:w="1519" w:type="pct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1.自带水性笔，严禁携带通讯工具、参考材料入场；</w:t>
            </w:r>
          </w:p>
          <w:p>
            <w:pPr>
              <w:jc w:val="left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2.提前1</w:t>
            </w:r>
            <w:r>
              <w:rPr>
                <w:rFonts w:ascii="仿宋" w:hAnsi="仿宋" w:eastAsia="仿宋" w:cs="仿宋"/>
                <w:color w:val="333333"/>
                <w:sz w:val="30"/>
                <w:szCs w:val="30"/>
              </w:rPr>
              <w:t>0</w:t>
            </w: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分钟入场完毕。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pct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党建工作</w:t>
            </w:r>
          </w:p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案例展示</w:t>
            </w:r>
          </w:p>
        </w:tc>
        <w:tc>
          <w:tcPr>
            <w:tcW w:w="825" w:type="pct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7月13日</w:t>
            </w:r>
          </w:p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（星期三）</w:t>
            </w:r>
          </w:p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上午</w:t>
            </w:r>
            <w:r>
              <w:rPr>
                <w:rFonts w:ascii="仿宋" w:hAnsi="仿宋" w:eastAsia="仿宋" w:cs="仿宋"/>
                <w:color w:val="333333"/>
                <w:sz w:val="30"/>
                <w:szCs w:val="30"/>
              </w:rPr>
              <w:t>9</w:t>
            </w: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:00</w:t>
            </w:r>
            <w:r>
              <w:rPr>
                <w:rFonts w:ascii="仿宋" w:hAnsi="仿宋" w:eastAsia="仿宋" w:cs="仿宋"/>
                <w:color w:val="333333"/>
                <w:sz w:val="30"/>
                <w:szCs w:val="30"/>
              </w:rPr>
              <w:t>-</w:t>
            </w: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12:00</w:t>
            </w:r>
          </w:p>
        </w:tc>
        <w:tc>
          <w:tcPr>
            <w:tcW w:w="143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育才校区图书馆一楼报告厅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（专职组织员组）</w:t>
            </w:r>
          </w:p>
        </w:tc>
        <w:tc>
          <w:tcPr>
            <w:tcW w:w="574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现场展示</w:t>
            </w:r>
          </w:p>
        </w:tc>
        <w:tc>
          <w:tcPr>
            <w:tcW w:w="1519" w:type="pct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1.7月12日下午</w:t>
            </w:r>
            <w:r>
              <w:rPr>
                <w:rFonts w:ascii="仿宋" w:hAnsi="仿宋" w:eastAsia="仿宋" w:cs="仿宋"/>
                <w:color w:val="333333"/>
                <w:sz w:val="30"/>
                <w:szCs w:val="30"/>
              </w:rPr>
              <w:t>4</w:t>
            </w: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:</w:t>
            </w:r>
            <w:r>
              <w:rPr>
                <w:rFonts w:ascii="仿宋" w:hAnsi="仿宋" w:eastAsia="仿宋" w:cs="仿宋"/>
                <w:color w:val="333333"/>
                <w:sz w:val="30"/>
                <w:szCs w:val="30"/>
              </w:rPr>
              <w:t>5</w:t>
            </w: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0到党建工作案例展示现场熟悉流程；</w:t>
            </w:r>
          </w:p>
          <w:p>
            <w:pPr>
              <w:jc w:val="left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2.7月13日上午8</w:t>
            </w: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  <w:lang w:val="en-US" w:eastAsia="zh-CN"/>
              </w:rPr>
              <w:t>:</w:t>
            </w: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00前拷贝好展示课件；</w:t>
            </w:r>
          </w:p>
          <w:p>
            <w:pPr>
              <w:jc w:val="left"/>
              <w:rPr>
                <w:rFonts w:hint="eastAsia" w:ascii="仿宋" w:hAnsi="仿宋" w:eastAsia="仿宋" w:cs="仿宋"/>
                <w:color w:val="333333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3.提前1</w:t>
            </w:r>
            <w:r>
              <w:rPr>
                <w:rFonts w:ascii="仿宋" w:hAnsi="仿宋" w:eastAsia="仿宋" w:cs="仿宋"/>
                <w:color w:val="333333"/>
                <w:sz w:val="30"/>
                <w:szCs w:val="30"/>
              </w:rPr>
              <w:t>0</w:t>
            </w: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分钟入场完毕，在台下观众席候场区候场</w:t>
            </w: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  <w:lang w:val="en-US" w:eastAsia="zh-CN"/>
              </w:rPr>
              <w:t>;</w:t>
            </w:r>
          </w:p>
          <w:p>
            <w:pPr>
              <w:jc w:val="left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4.每人展示时间限时6分钟，时间到则停止讲解。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pct"/>
            <w:vMerge w:val="continue"/>
            <w:vAlign w:val="center"/>
          </w:tcPr>
          <w:p>
            <w:pPr>
              <w:ind w:firstLine="600" w:firstLineChars="200"/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825" w:type="pct"/>
            <w:vMerge w:val="continue"/>
            <w:vAlign w:val="center"/>
          </w:tcPr>
          <w:p>
            <w:pPr>
              <w:ind w:firstLine="600" w:firstLineChars="200"/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1435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育才校区图书馆107教室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（教师党支部书记组）</w:t>
            </w:r>
          </w:p>
        </w:tc>
        <w:tc>
          <w:tcPr>
            <w:tcW w:w="574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现场展示</w:t>
            </w:r>
          </w:p>
        </w:tc>
        <w:tc>
          <w:tcPr>
            <w:tcW w:w="1519" w:type="pct"/>
            <w:vMerge w:val="continue"/>
            <w:vAlign w:val="center"/>
          </w:tcPr>
          <w:p>
            <w:pPr>
              <w:ind w:firstLine="600" w:firstLineChars="200"/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7" w:type="pct"/>
            <w:vMerge w:val="continue"/>
            <w:vAlign w:val="center"/>
          </w:tcPr>
          <w:p>
            <w:pPr>
              <w:ind w:firstLine="600" w:firstLineChars="200"/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825" w:type="pct"/>
            <w:vMerge w:val="continue"/>
            <w:vAlign w:val="center"/>
          </w:tcPr>
          <w:p>
            <w:pPr>
              <w:ind w:firstLine="600" w:firstLineChars="200"/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  <w:tc>
          <w:tcPr>
            <w:tcW w:w="14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育才校区田家炳教育书院</w:t>
            </w:r>
          </w:p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109教室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（学生党支部书记组）</w:t>
            </w:r>
          </w:p>
        </w:tc>
        <w:tc>
          <w:tcPr>
            <w:tcW w:w="574" w:type="pct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333333"/>
                <w:sz w:val="30"/>
                <w:szCs w:val="30"/>
              </w:rPr>
              <w:t>现场展示</w:t>
            </w:r>
          </w:p>
        </w:tc>
        <w:tc>
          <w:tcPr>
            <w:tcW w:w="1519" w:type="pct"/>
            <w:vMerge w:val="continue"/>
            <w:vAlign w:val="center"/>
          </w:tcPr>
          <w:p>
            <w:pPr>
              <w:ind w:firstLine="600" w:firstLineChars="200"/>
              <w:jc w:val="center"/>
              <w:rPr>
                <w:rFonts w:ascii="仿宋" w:hAnsi="仿宋" w:eastAsia="仿宋" w:cs="仿宋"/>
                <w:color w:val="333333"/>
                <w:sz w:val="30"/>
                <w:szCs w:val="30"/>
              </w:rPr>
            </w:pPr>
          </w:p>
        </w:tc>
      </w:tr>
    </w:tbl>
    <w:p>
      <w:pPr>
        <w:rPr>
          <w:rFonts w:ascii="华文中宋" w:hAnsi="华文中宋" w:eastAsia="华文中宋" w:cs="华文中宋"/>
          <w:b/>
          <w:bCs/>
          <w:color w:val="333333"/>
          <w:sz w:val="11"/>
          <w:szCs w:val="11"/>
        </w:rPr>
      </w:pPr>
    </w:p>
    <w:sectPr>
      <w:pgSz w:w="16838" w:h="11906" w:orient="landscape"/>
      <w:pgMar w:top="850" w:right="1440" w:bottom="850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iYWYwYWI4Y2VkZjQzZTg2OTBjMzI5Yzc0MjZlNTMifQ=="/>
  </w:docVars>
  <w:rsids>
    <w:rsidRoot w:val="00000000"/>
    <w:rsid w:val="2759638C"/>
    <w:rsid w:val="55B654BC"/>
    <w:rsid w:val="62CD065B"/>
    <w:rsid w:val="65F94CB9"/>
    <w:rsid w:val="7E453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9">
    <w:name w:val="页脚 字符"/>
    <w:basedOn w:val="6"/>
    <w:link w:val="2"/>
    <w:uiPriority w:val="0"/>
    <w:rPr>
      <w:rFonts w:ascii="Calibri" w:hAnsi="Calibri" w:eastAsia="宋体" w:cs="宋体"/>
      <w:kern w:val="2"/>
      <w:sz w:val="18"/>
      <w:szCs w:val="18"/>
    </w:rPr>
  </w:style>
  <w:style w:type="paragraph" w:customStyle="1" w:styleId="10">
    <w:name w:val="Revision"/>
    <w:uiPriority w:val="99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customStyle="1" w:styleId="11">
    <w:name w:val="Unresolved Mention"/>
    <w:basedOn w:val="6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</Words>
  <Characters>317</Characters>
  <Paragraphs>105</Paragraphs>
  <TotalTime>10</TotalTime>
  <ScaleCrop>false</ScaleCrop>
  <LinksUpToDate>false</LinksUpToDate>
  <CharactersWithSpaces>317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2022-07-07T10:10:00Z</dcterms:created>
  <dc:creator>黄秋菊</dc:creator>
  <cp:lastModifiedBy>A大鵬</cp:lastModifiedBy>
  <dcterms:modified xsi:type="dcterms:W3CDTF">2022-07-08T10:05:45Z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B393BFC38AF14CC587B5A315B1DAE337</vt:lpwstr>
  </property>
</Properties>
</file>