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0348E">
      <w:pPr>
        <w:pStyle w:val="10"/>
        <w:bidi w:val="0"/>
        <w:ind w:left="0" w:leftChars="0" w:firstLine="0" w:firstLineChars="0"/>
        <w:rPr>
          <w:rFonts w:hint="eastAsia" w:ascii="黑体" w:hAnsi="黑体" w:eastAsia="黑体" w:cs="黑体"/>
          <w:b w:val="0"/>
          <w:bCs/>
          <w:sz w:val="32"/>
          <w:szCs w:val="32"/>
        </w:rPr>
      </w:pPr>
      <w:bookmarkStart w:id="0" w:name="_Toc1989454940"/>
      <w:bookmarkStart w:id="1" w:name="_Toc437938740"/>
      <w:bookmarkStart w:id="2" w:name="_Toc1993729533"/>
      <w:bookmarkStart w:id="3" w:name="_Toc1441741876"/>
      <w:bookmarkStart w:id="4" w:name="_Toc2073103965"/>
      <w:bookmarkStart w:id="5" w:name="_Toc1551719663"/>
      <w:r>
        <w:rPr>
          <w:rFonts w:hint="default" w:ascii="Times New Roman" w:hAnsi="Times New Roman" w:eastAsia="黑体" w:cs="Times New Roman"/>
          <w:b w:val="0"/>
          <w:bCs/>
          <w:sz w:val="32"/>
          <w:szCs w:val="32"/>
        </w:rPr>
        <w:t>附件</w:t>
      </w:r>
      <w:bookmarkEnd w:id="0"/>
      <w:bookmarkEnd w:id="1"/>
      <w:r>
        <w:rPr>
          <w:rFonts w:hint="default" w:ascii="Times New Roman" w:hAnsi="Times New Roman" w:eastAsia="黑体" w:cs="Times New Roman"/>
          <w:b w:val="0"/>
          <w:bCs/>
          <w:sz w:val="32"/>
          <w:szCs w:val="32"/>
        </w:rPr>
        <w:t>1</w:t>
      </w:r>
      <w:bookmarkEnd w:id="2"/>
      <w:bookmarkEnd w:id="3"/>
      <w:bookmarkEnd w:id="4"/>
      <w:bookmarkEnd w:id="5"/>
    </w:p>
    <w:p w14:paraId="6A258FF1">
      <w:pPr>
        <w:keepNext w:val="0"/>
        <w:keepLines w:val="0"/>
        <w:pageBreakBefore w:val="0"/>
        <w:widowControl w:val="0"/>
        <w:kinsoku/>
        <w:wordWrap/>
        <w:overflowPunct/>
        <w:topLinePunct w:val="0"/>
        <w:autoSpaceDE/>
        <w:autoSpaceDN/>
        <w:bidi w:val="0"/>
        <w:spacing w:line="560" w:lineRule="exact"/>
        <w:ind w:left="0"/>
        <w:textAlignment w:val="auto"/>
        <w:rPr>
          <w:rFonts w:hint="eastAsia"/>
        </w:rPr>
      </w:pPr>
    </w:p>
    <w:p w14:paraId="7BD40C36">
      <w:pPr>
        <w:keepNext w:val="0"/>
        <w:keepLines w:val="0"/>
        <w:pageBreakBefore w:val="0"/>
        <w:widowControl w:val="0"/>
        <w:kinsoku/>
        <w:wordWrap/>
        <w:overflowPunct/>
        <w:topLinePunct w:val="0"/>
        <w:autoSpaceDE/>
        <w:autoSpaceDN/>
        <w:bidi w:val="0"/>
        <w:adjustRightInd w:val="0"/>
        <w:snapToGrid w:val="0"/>
        <w:spacing w:line="600" w:lineRule="exact"/>
        <w:ind w:lef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6"/>
          <w:sz w:val="44"/>
          <w:szCs w:val="44"/>
          <w:lang w:val="en-US" w:eastAsia="zh-CN"/>
        </w:rPr>
        <w:t>2024年</w:t>
      </w:r>
      <w:r>
        <w:rPr>
          <w:rFonts w:hint="eastAsia" w:ascii="方正小标宋简体" w:hAnsi="方正小标宋简体" w:eastAsia="方正小标宋简体" w:cs="方正小标宋简体"/>
          <w:spacing w:val="-6"/>
          <w:sz w:val="44"/>
          <w:szCs w:val="44"/>
        </w:rPr>
        <w:t>国际科技创新合作与联合研究专项项目</w:t>
      </w:r>
    </w:p>
    <w:p w14:paraId="7B37C3B4">
      <w:pPr>
        <w:keepNext w:val="0"/>
        <w:keepLines w:val="0"/>
        <w:pageBreakBefore w:val="0"/>
        <w:widowControl w:val="0"/>
        <w:kinsoku/>
        <w:wordWrap/>
        <w:overflowPunct/>
        <w:topLinePunct w:val="0"/>
        <w:autoSpaceDE/>
        <w:autoSpaceDN/>
        <w:bidi w:val="0"/>
        <w:adjustRightInd w:val="0"/>
        <w:snapToGrid w:val="0"/>
        <w:spacing w:line="600" w:lineRule="exact"/>
        <w:ind w:left="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申报指南</w:t>
      </w:r>
    </w:p>
    <w:p w14:paraId="1F903828">
      <w:pPr>
        <w:keepNext w:val="0"/>
        <w:keepLines w:val="0"/>
        <w:pageBreakBefore w:val="0"/>
        <w:widowControl w:val="0"/>
        <w:kinsoku/>
        <w:wordWrap/>
        <w:overflowPunct/>
        <w:topLinePunct w:val="0"/>
        <w:autoSpaceDE/>
        <w:autoSpaceDN/>
        <w:bidi w:val="0"/>
        <w:spacing w:line="560" w:lineRule="exact"/>
        <w:ind w:left="0"/>
        <w:jc w:val="center"/>
        <w:textAlignment w:val="auto"/>
        <w:rPr>
          <w:rFonts w:ascii="方正小标宋简体" w:hAnsi="方正小标宋简体" w:eastAsia="方正小标宋简体" w:cs="方正小标宋简体"/>
          <w:sz w:val="44"/>
          <w:szCs w:val="44"/>
        </w:rPr>
      </w:pPr>
    </w:p>
    <w:p w14:paraId="50553874">
      <w:pPr>
        <w:keepNext w:val="0"/>
        <w:keepLines w:val="0"/>
        <w:pageBreakBefore w:val="0"/>
        <w:widowControl w:val="0"/>
        <w:kinsoku/>
        <w:wordWrap/>
        <w:overflowPunct/>
        <w:topLinePunct w:val="0"/>
        <w:autoSpaceDE/>
        <w:autoSpaceDN/>
        <w:bidi w:val="0"/>
        <w:adjustRightInd w:val="0"/>
        <w:snapToGrid w:val="0"/>
        <w:spacing w:line="560" w:lineRule="exact"/>
        <w:ind w:left="0"/>
        <w:jc w:val="center"/>
        <w:textAlignment w:val="auto"/>
        <w:rPr>
          <w:rFonts w:hint="eastAsia" w:ascii="方正小标宋简体" w:hAnsi="方正小标宋简体" w:eastAsia="方正小标宋简体" w:cs="方正小标宋简体"/>
          <w:snapToGrid w:val="0"/>
          <w:sz w:val="44"/>
          <w:szCs w:val="44"/>
        </w:rPr>
      </w:pPr>
      <w:r>
        <w:rPr>
          <w:rFonts w:hint="eastAsia" w:ascii="方正小标宋简体" w:hAnsi="方正小标宋简体" w:eastAsia="方正小标宋简体" w:cs="方正小标宋简体"/>
          <w:snapToGrid w:val="0"/>
          <w:sz w:val="44"/>
          <w:szCs w:val="44"/>
        </w:rPr>
        <w:t>目</w:t>
      </w:r>
      <w:r>
        <w:rPr>
          <w:rFonts w:hint="default" w:ascii="方正小标宋简体" w:hAnsi="方正小标宋简体" w:eastAsia="方正小标宋简体" w:cs="方正小标宋简体"/>
          <w:snapToGrid w:val="0"/>
          <w:sz w:val="44"/>
          <w:szCs w:val="44"/>
          <w:lang w:val="en"/>
        </w:rPr>
        <w:t xml:space="preserve"> </w:t>
      </w:r>
      <w:r>
        <w:rPr>
          <w:rFonts w:hint="eastAsia" w:ascii="方正小标宋简体" w:hAnsi="方正小标宋简体" w:eastAsia="方正小标宋简体" w:cs="方正小标宋简体"/>
          <w:snapToGrid w:val="0"/>
          <w:sz w:val="44"/>
          <w:szCs w:val="44"/>
        </w:rPr>
        <w:t>录</w:t>
      </w:r>
      <w:bookmarkStart w:id="6" w:name="_Toc101779244"/>
    </w:p>
    <w:p w14:paraId="734F9928">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楷体" w:hAnsi="楷体" w:eastAsia="楷体" w:cs="楷体"/>
          <w:sz w:val="30"/>
          <w:szCs w:val="30"/>
        </w:rPr>
      </w:pPr>
    </w:p>
    <w:p w14:paraId="10884F52">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TOC \o "1-3" \h \u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_Toc997377767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方向1：面向东盟的实验动物模型研发及产业化</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PAGEREF _Toc997377767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r>
        <w:rPr>
          <w:rFonts w:hint="eastAsia" w:ascii="Times New Roman" w:hAnsi="Times New Roman" w:eastAsia="仿宋_GB2312" w:cs="Times New Roman"/>
          <w:kern w:val="2"/>
          <w:sz w:val="32"/>
          <w:szCs w:val="32"/>
          <w:lang w:val="en-US" w:eastAsia="zh-CN" w:bidi="ar-SA"/>
        </w:rPr>
        <w:fldChar w:fldCharType="end"/>
      </w:r>
    </w:p>
    <w:p w14:paraId="6108BC80">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_Toc1412024989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方向2：面向东盟的轨道交通隧道安全技术研发与应用研究</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PAGEREF _Toc1412024989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6</w:t>
      </w:r>
      <w:r>
        <w:rPr>
          <w:rFonts w:hint="eastAsia" w:ascii="Times New Roman" w:hAnsi="Times New Roman" w:eastAsia="仿宋_GB2312" w:cs="Times New Roman"/>
          <w:kern w:val="2"/>
          <w:sz w:val="32"/>
          <w:szCs w:val="32"/>
          <w:lang w:val="en-US" w:eastAsia="zh-CN" w:bidi="ar-SA"/>
        </w:rPr>
        <w:fldChar w:fldCharType="end"/>
      </w:r>
      <w:r>
        <w:rPr>
          <w:rFonts w:hint="eastAsia" w:ascii="Times New Roman" w:hAnsi="Times New Roman" w:eastAsia="仿宋_GB2312" w:cs="Times New Roman"/>
          <w:kern w:val="2"/>
          <w:sz w:val="32"/>
          <w:szCs w:val="32"/>
          <w:lang w:val="en-US" w:eastAsia="zh-CN" w:bidi="ar-SA"/>
        </w:rPr>
        <w:fldChar w:fldCharType="end"/>
      </w:r>
    </w:p>
    <w:p w14:paraId="2ABBA847">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_Toc300663751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方向3：</w:t>
      </w:r>
      <w:r>
        <w:rPr>
          <w:rFonts w:hint="eastAsia" w:ascii="Times New Roman" w:hAnsi="Times New Roman" w:eastAsia="仿宋_GB2312" w:cs="Times New Roman"/>
          <w:spacing w:val="-6"/>
          <w:kern w:val="2"/>
          <w:sz w:val="32"/>
          <w:szCs w:val="32"/>
          <w:lang w:val="en-US" w:eastAsia="zh-CN" w:bidi="ar-SA"/>
        </w:rPr>
        <w:t>面向东盟数智化绿色建造成套技术与装备研发及应用</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PAGEREF _Toc300663751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7</w:t>
      </w:r>
      <w:r>
        <w:rPr>
          <w:rFonts w:hint="eastAsia" w:ascii="Times New Roman" w:hAnsi="Times New Roman" w:eastAsia="仿宋_GB2312" w:cs="Times New Roman"/>
          <w:kern w:val="2"/>
          <w:sz w:val="32"/>
          <w:szCs w:val="32"/>
          <w:lang w:val="en-US" w:eastAsia="zh-CN" w:bidi="ar-SA"/>
        </w:rPr>
        <w:fldChar w:fldCharType="end"/>
      </w:r>
      <w:r>
        <w:rPr>
          <w:rFonts w:hint="eastAsia" w:ascii="Times New Roman" w:hAnsi="Times New Roman" w:eastAsia="仿宋_GB2312" w:cs="Times New Roman"/>
          <w:kern w:val="2"/>
          <w:sz w:val="32"/>
          <w:szCs w:val="32"/>
          <w:lang w:val="en-US" w:eastAsia="zh-CN" w:bidi="ar-SA"/>
        </w:rPr>
        <w:fldChar w:fldCharType="end"/>
      </w:r>
    </w:p>
    <w:p w14:paraId="62D923FC">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_Toc1889438330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方向4：</w:t>
      </w:r>
      <w:r>
        <w:rPr>
          <w:rFonts w:hint="eastAsia" w:ascii="Times New Roman" w:hAnsi="Times New Roman" w:eastAsia="仿宋_GB2312" w:cs="Times New Roman"/>
          <w:spacing w:val="-17"/>
          <w:kern w:val="2"/>
          <w:sz w:val="32"/>
          <w:szCs w:val="32"/>
          <w:lang w:val="en-US" w:eastAsia="zh-CN" w:bidi="ar-SA"/>
        </w:rPr>
        <w:t>面向中国</w:t>
      </w:r>
      <w:r>
        <w:rPr>
          <w:rFonts w:hint="eastAsia" w:ascii="Times New Roman" w:hAnsi="Times New Roman" w:eastAsia="仿宋_GB2312" w:cs="Times New Roman"/>
          <w:spacing w:val="-17"/>
          <w:kern w:val="2"/>
          <w:sz w:val="32"/>
          <w:szCs w:val="32"/>
          <w:lang w:val="en" w:eastAsia="zh-CN" w:bidi="ar-SA"/>
        </w:rPr>
        <w:t>—</w:t>
      </w:r>
      <w:r>
        <w:rPr>
          <w:rFonts w:hint="eastAsia" w:ascii="Times New Roman" w:hAnsi="Times New Roman" w:eastAsia="仿宋_GB2312" w:cs="Times New Roman"/>
          <w:spacing w:val="-17"/>
          <w:kern w:val="2"/>
          <w:sz w:val="32"/>
          <w:szCs w:val="32"/>
          <w:lang w:val="en-US" w:eastAsia="zh-CN" w:bidi="ar-SA"/>
        </w:rPr>
        <w:t>东盟的数字证照跨境服务平台研究与示范应用</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PAGEREF _Toc1889438330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8</w:t>
      </w:r>
      <w:r>
        <w:rPr>
          <w:rFonts w:hint="eastAsia" w:ascii="Times New Roman" w:hAnsi="Times New Roman" w:eastAsia="仿宋_GB2312" w:cs="Times New Roman"/>
          <w:kern w:val="2"/>
          <w:sz w:val="32"/>
          <w:szCs w:val="32"/>
          <w:lang w:val="en-US" w:eastAsia="zh-CN" w:bidi="ar-SA"/>
        </w:rPr>
        <w:fldChar w:fldCharType="end"/>
      </w:r>
      <w:r>
        <w:rPr>
          <w:rFonts w:hint="eastAsia" w:ascii="Times New Roman" w:hAnsi="Times New Roman" w:eastAsia="仿宋_GB2312" w:cs="Times New Roman"/>
          <w:kern w:val="2"/>
          <w:sz w:val="32"/>
          <w:szCs w:val="32"/>
          <w:lang w:val="en-US" w:eastAsia="zh-CN" w:bidi="ar-SA"/>
        </w:rPr>
        <w:fldChar w:fldCharType="end"/>
      </w:r>
    </w:p>
    <w:p w14:paraId="01096618">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_Toc1848371457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方向5：面向东盟重大灾害监测预警技术研发与应用示范</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PAGEREF _Toc1848371457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9</w:t>
      </w:r>
      <w:r>
        <w:rPr>
          <w:rFonts w:hint="eastAsia" w:ascii="Times New Roman" w:hAnsi="Times New Roman" w:eastAsia="仿宋_GB2312" w:cs="Times New Roman"/>
          <w:kern w:val="2"/>
          <w:sz w:val="32"/>
          <w:szCs w:val="32"/>
          <w:lang w:val="en-US" w:eastAsia="zh-CN" w:bidi="ar-SA"/>
        </w:rPr>
        <w:fldChar w:fldCharType="end"/>
      </w:r>
      <w:r>
        <w:rPr>
          <w:rFonts w:hint="eastAsia" w:ascii="Times New Roman" w:hAnsi="Times New Roman" w:eastAsia="仿宋_GB2312" w:cs="Times New Roman"/>
          <w:kern w:val="2"/>
          <w:sz w:val="32"/>
          <w:szCs w:val="32"/>
          <w:lang w:val="en-US" w:eastAsia="zh-CN" w:bidi="ar-SA"/>
        </w:rPr>
        <w:fldChar w:fldCharType="end"/>
      </w:r>
    </w:p>
    <w:p w14:paraId="57917F34">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_Toc136022902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方向6：基于智能模型的老缅泰地区替代种植技术支撑平台及示范应用</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PAGEREF _Toc136022902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10</w:t>
      </w:r>
      <w:r>
        <w:rPr>
          <w:rFonts w:hint="eastAsia" w:ascii="Times New Roman" w:hAnsi="Times New Roman" w:eastAsia="仿宋_GB2312" w:cs="Times New Roman"/>
          <w:kern w:val="2"/>
          <w:sz w:val="32"/>
          <w:szCs w:val="32"/>
          <w:lang w:val="en-US" w:eastAsia="zh-CN" w:bidi="ar-SA"/>
        </w:rPr>
        <w:fldChar w:fldCharType="end"/>
      </w:r>
      <w:r>
        <w:rPr>
          <w:rFonts w:hint="eastAsia" w:ascii="Times New Roman" w:hAnsi="Times New Roman" w:eastAsia="仿宋_GB2312" w:cs="Times New Roman"/>
          <w:kern w:val="2"/>
          <w:sz w:val="32"/>
          <w:szCs w:val="32"/>
          <w:lang w:val="en-US" w:eastAsia="zh-CN" w:bidi="ar-SA"/>
        </w:rPr>
        <w:fldChar w:fldCharType="end"/>
      </w:r>
    </w:p>
    <w:p w14:paraId="03A14F62">
      <w:pPr>
        <w:pStyle w:val="15"/>
        <w:keepNext w:val="0"/>
        <w:keepLines w:val="0"/>
        <w:pageBreakBefore w:val="0"/>
        <w:widowControl w:val="0"/>
        <w:tabs>
          <w:tab w:val="right" w:leader="dot" w:pos="8844"/>
        </w:tabs>
        <w:kinsoku/>
        <w:wordWrap/>
        <w:overflowPunct/>
        <w:topLinePunct w:val="0"/>
        <w:autoSpaceDE/>
        <w:autoSpaceDN/>
        <w:bidi w:val="0"/>
        <w:spacing w:line="560" w:lineRule="exac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_Toc1151339661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方向7：国际科技创新合作与联合研究</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PAGEREF _Toc1151339661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11</w:t>
      </w:r>
      <w:r>
        <w:rPr>
          <w:rFonts w:hint="eastAsia" w:ascii="Times New Roman" w:hAnsi="Times New Roman" w:eastAsia="仿宋_GB2312" w:cs="Times New Roman"/>
          <w:kern w:val="2"/>
          <w:sz w:val="32"/>
          <w:szCs w:val="32"/>
          <w:lang w:val="en-US" w:eastAsia="zh-CN" w:bidi="ar-SA"/>
        </w:rPr>
        <w:fldChar w:fldCharType="end"/>
      </w:r>
      <w:r>
        <w:rPr>
          <w:rFonts w:hint="eastAsia" w:ascii="Times New Roman" w:hAnsi="Times New Roman" w:eastAsia="仿宋_GB2312" w:cs="Times New Roman"/>
          <w:kern w:val="2"/>
          <w:sz w:val="32"/>
          <w:szCs w:val="32"/>
          <w:lang w:val="en-US" w:eastAsia="zh-CN" w:bidi="ar-SA"/>
        </w:rPr>
        <w:fldChar w:fldCharType="end"/>
      </w:r>
    </w:p>
    <w:p w14:paraId="342699F8">
      <w:pPr>
        <w:pStyle w:val="12"/>
        <w:keepNext w:val="0"/>
        <w:keepLines w:val="0"/>
        <w:pageBreakBefore w:val="0"/>
        <w:widowControl w:val="0"/>
        <w:tabs>
          <w:tab w:val="right" w:leader="dot" w:pos="8844"/>
        </w:tabs>
        <w:kinsoku/>
        <w:wordWrap/>
        <w:overflowPunct/>
        <w:topLinePunct w:val="0"/>
        <w:autoSpaceDE/>
        <w:autoSpaceDN/>
        <w:bidi w:val="0"/>
        <w:spacing w:after="0" w:line="560" w:lineRule="exact"/>
        <w:ind w:left="0"/>
        <w:textAlignment w:val="auto"/>
        <w:rPr>
          <w:rFonts w:hint="eastAsia" w:ascii="楷体" w:hAnsi="楷体" w:eastAsia="楷体" w:cs="楷体"/>
          <w:sz w:val="30"/>
          <w:szCs w:val="30"/>
        </w:rPr>
      </w:pPr>
      <w:r>
        <w:rPr>
          <w:rFonts w:hint="eastAsia" w:ascii="Times New Roman" w:hAnsi="Times New Roman" w:eastAsia="仿宋_GB2312" w:cs="Times New Roman"/>
          <w:kern w:val="2"/>
          <w:sz w:val="32"/>
          <w:szCs w:val="32"/>
          <w:lang w:val="en-US" w:eastAsia="zh-CN" w:bidi="ar-SA"/>
        </w:rPr>
        <w:fldChar w:fldCharType="end"/>
      </w:r>
      <w:bookmarkEnd w:id="6"/>
      <w:bookmarkStart w:id="7" w:name="_Toc157844631"/>
    </w:p>
    <w:p w14:paraId="5175FC80">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firstLine="600" w:firstLineChars="200"/>
        <w:jc w:val="both"/>
        <w:textAlignment w:val="auto"/>
        <w:rPr>
          <w:rFonts w:hint="eastAsia" w:ascii="方正仿宋_GBK" w:hAnsi="方正仿宋_GBK" w:eastAsia="方正仿宋_GBK" w:cs="方正仿宋_GBK"/>
          <w:b/>
          <w:bCs/>
        </w:rPr>
      </w:pPr>
      <w:r>
        <w:rPr>
          <w:rFonts w:hint="eastAsia" w:ascii="楷体" w:hAnsi="楷体" w:eastAsia="楷体" w:cs="楷体"/>
          <w:sz w:val="30"/>
          <w:szCs w:val="30"/>
        </w:rPr>
        <w:br w:type="page"/>
      </w:r>
      <w:bookmarkStart w:id="8" w:name="_Toc1055766937"/>
      <w:bookmarkStart w:id="9" w:name="_Toc2113009489"/>
      <w:bookmarkStart w:id="10" w:name="_Toc997377767"/>
      <w:r>
        <w:rPr>
          <w:rFonts w:hint="eastAsia" w:ascii="方正仿宋_GBK" w:hAnsi="方正仿宋_GBK" w:eastAsia="方正仿宋_GBK" w:cs="方正仿宋_GBK"/>
          <w:b/>
          <w:bCs/>
        </w:rPr>
        <w:t>方向</w:t>
      </w:r>
      <w:r>
        <w:rPr>
          <w:rFonts w:hint="eastAsia" w:ascii="Times New Roman" w:hAnsi="Times New Roman" w:eastAsia="仿宋_GB2312" w:cs="Times New Roman"/>
          <w:b/>
          <w:bCs/>
          <w:kern w:val="2"/>
          <w:sz w:val="32"/>
          <w:szCs w:val="32"/>
          <w:lang w:val="en-US" w:eastAsia="zh-CN" w:bidi="ar-SA"/>
        </w:rPr>
        <w:t>1</w:t>
      </w:r>
      <w:r>
        <w:rPr>
          <w:rFonts w:hint="eastAsia" w:ascii="方正仿宋_GBK" w:hAnsi="方正仿宋_GBK" w:eastAsia="方正仿宋_GBK" w:cs="方正仿宋_GBK"/>
          <w:b/>
          <w:bCs/>
        </w:rPr>
        <w:t>：面向东盟的实验动物模型研发及产业</w:t>
      </w:r>
      <w:bookmarkEnd w:id="8"/>
      <w:bookmarkEnd w:id="9"/>
      <w:r>
        <w:rPr>
          <w:rFonts w:hint="eastAsia" w:ascii="方正仿宋_GBK" w:hAnsi="方正仿宋_GBK" w:eastAsia="方正仿宋_GBK" w:cs="方正仿宋_GBK"/>
          <w:b/>
          <w:bCs/>
        </w:rPr>
        <w:t>化</w:t>
      </w:r>
      <w:bookmarkEnd w:id="10"/>
    </w:p>
    <w:p w14:paraId="1B655692">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ascii="Times New Roman" w:hAnsi="Times New Roman" w:eastAsia="仿宋_GB2312"/>
          <w:b/>
          <w:bCs/>
          <w:sz w:val="32"/>
          <w:szCs w:val="32"/>
        </w:rPr>
        <w:t>研究内容：</w:t>
      </w:r>
      <w:r>
        <w:rPr>
          <w:rFonts w:hint="eastAsia" w:ascii="Times New Roman" w:hAnsi="Times New Roman" w:eastAsia="仿宋_GB2312"/>
          <w:sz w:val="32"/>
          <w:szCs w:val="32"/>
        </w:rPr>
        <w:t>针对中国、东盟实验动物种质资源开发与服务共享体系建设落后的问题，面向东盟国家，建立基因工程动物模型开发平台，形成一批具有自主知识产权的人类疾病动物模型，并将其应用于生物医药产业；建立完善树鼩、巴马小型猪等广西特色实验动物的繁殖育种基地，进行相关动物的产品研发；借助于实验动物平台，进行抗体诊断试剂盒、天然药物等开发和产业化推广，建设辐射东盟的生物医药产业研发基地，培育一批生物医药产业高端人才队伍。</w:t>
      </w:r>
    </w:p>
    <w:p w14:paraId="6B7C9046">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考核指标：</w:t>
      </w:r>
      <w:r>
        <w:rPr>
          <w:rFonts w:hint="eastAsia" w:ascii="Times New Roman" w:hAnsi="Times New Roman" w:eastAsia="仿宋_GB2312"/>
          <w:sz w:val="32"/>
          <w:szCs w:val="32"/>
        </w:rPr>
        <w:t>（1）建设基因工程动物模型平台1个，自主开发10个品系及以上的基因编辑动物模型并推广应用；（2）建立完善树鼩或巴马小型猪等广西特色实验动物繁育种群基地，每个种群规模达到500只（头）以上；（3）开发抗体试剂3种及以上并拿到批文，开发2-3种广西特色天然药物；（4）引进或培养生物医药产业高端人才8人。</w:t>
      </w:r>
    </w:p>
    <w:p w14:paraId="1053971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实施年限：</w:t>
      </w:r>
      <w:r>
        <w:rPr>
          <w:rFonts w:hint="eastAsia" w:ascii="Times New Roman" w:hAnsi="Times New Roman" w:eastAsia="仿宋_GB2312"/>
          <w:sz w:val="32"/>
          <w:szCs w:val="32"/>
        </w:rPr>
        <w:t>3</w:t>
      </w:r>
      <w:r>
        <w:rPr>
          <w:rFonts w:ascii="Times New Roman" w:hAnsi="Times New Roman" w:eastAsia="仿宋_GB2312"/>
          <w:sz w:val="32"/>
          <w:szCs w:val="32"/>
        </w:rPr>
        <w:t>年。</w:t>
      </w:r>
    </w:p>
    <w:p w14:paraId="32050BAC">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资助经费：</w:t>
      </w:r>
      <w:r>
        <w:rPr>
          <w:rFonts w:hint="eastAsia" w:ascii="Times New Roman" w:hAnsi="Times New Roman" w:eastAsia="仿宋_GB2312"/>
          <w:sz w:val="32"/>
          <w:szCs w:val="32"/>
        </w:rPr>
        <w:t>300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5</w:t>
      </w:r>
      <w:r>
        <w:rPr>
          <w:rFonts w:ascii="Times New Roman" w:hAnsi="Times New Roman" w:eastAsia="仿宋_GB2312"/>
          <w:sz w:val="32"/>
          <w:szCs w:val="32"/>
        </w:rPr>
        <w:t>00万元。</w:t>
      </w:r>
    </w:p>
    <w:p w14:paraId="5494E26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ascii="Times New Roman" w:hAnsi="Times New Roman" w:eastAsia="仿宋_GB2312"/>
          <w:b/>
          <w:bCs/>
          <w:sz w:val="32"/>
          <w:szCs w:val="32"/>
        </w:rPr>
        <w:t>资助方式：</w:t>
      </w:r>
      <w:r>
        <w:rPr>
          <w:rFonts w:ascii="Times New Roman" w:hAnsi="Times New Roman" w:eastAsia="仿宋_GB2312"/>
          <w:sz w:val="32"/>
          <w:szCs w:val="32"/>
        </w:rPr>
        <w:t>前资助</w:t>
      </w:r>
      <w:r>
        <w:rPr>
          <w:rFonts w:hint="eastAsia" w:ascii="Times New Roman" w:hAnsi="Times New Roman" w:eastAsia="仿宋_GB2312"/>
          <w:sz w:val="32"/>
          <w:szCs w:val="32"/>
        </w:rPr>
        <w:t>。企业牵头申报的项目，企业配套经费与财政经费投入比不低于3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1。非企业牵头申报的项目，企业配套经费与企业获得的财政经费投入比不低于3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w:t>
      </w:r>
      <w:bookmarkStart w:id="11" w:name="_Toc675845509"/>
      <w:bookmarkStart w:id="12" w:name="_Toc999280739"/>
      <w:bookmarkStart w:id="13" w:name="_Toc666842730"/>
      <w:bookmarkStart w:id="14" w:name="_Toc480650447"/>
      <w:bookmarkStart w:id="15" w:name="_Toc524966407"/>
    </w:p>
    <w:p w14:paraId="6F79572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b/>
          <w:bCs/>
          <w:sz w:val="32"/>
          <w:szCs w:val="32"/>
        </w:rPr>
        <w:t>申报要求：</w:t>
      </w:r>
      <w:r>
        <w:rPr>
          <w:rFonts w:hint="eastAsia" w:ascii="Times New Roman" w:hAnsi="Times New Roman" w:eastAsia="仿宋_GB2312" w:cs="Times New Roman"/>
          <w:sz w:val="32"/>
          <w:szCs w:val="32"/>
        </w:rPr>
        <w:t>须由中国—东盟科技城范围内的企业、高校、科研院所等企事业单位牵头申报。须由南宁市科技局出具推荐</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需要提供查新报告。</w:t>
      </w:r>
      <w:bookmarkEnd w:id="11"/>
      <w:bookmarkEnd w:id="12"/>
      <w:bookmarkEnd w:id="13"/>
      <w:bookmarkEnd w:id="14"/>
      <w:bookmarkEnd w:id="15"/>
    </w:p>
    <w:p w14:paraId="0E39F2F0">
      <w:pPr>
        <w:pStyle w:val="11"/>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jc w:val="both"/>
        <w:textAlignment w:val="auto"/>
        <w:rPr>
          <w:rFonts w:hint="eastAsia"/>
        </w:rPr>
      </w:pPr>
    </w:p>
    <w:p w14:paraId="60B8719C">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方正仿宋_GBK" w:hAnsi="方正仿宋_GBK" w:eastAsia="方正仿宋_GBK" w:cs="方正仿宋_GBK"/>
          <w:b/>
          <w:bCs/>
        </w:rPr>
      </w:pPr>
      <w:bookmarkStart w:id="16" w:name="_Toc602805295"/>
      <w:bookmarkStart w:id="17" w:name="_Toc1412024989"/>
      <w:bookmarkStart w:id="18" w:name="_Toc472342150"/>
      <w:r>
        <w:rPr>
          <w:rFonts w:hint="eastAsia" w:ascii="方正仿宋_GBK" w:hAnsi="方正仿宋_GBK" w:eastAsia="方正仿宋_GBK" w:cs="方正仿宋_GBK"/>
          <w:b/>
          <w:bCs/>
        </w:rPr>
        <w:t>方向</w:t>
      </w:r>
      <w:r>
        <w:rPr>
          <w:rFonts w:hint="eastAsia" w:ascii="Times New Roman" w:hAnsi="Times New Roman" w:eastAsia="仿宋_GB2312" w:cs="Times New Roman"/>
          <w:b/>
          <w:bCs/>
          <w:kern w:val="2"/>
          <w:sz w:val="32"/>
          <w:szCs w:val="32"/>
          <w:lang w:val="en-US" w:eastAsia="zh-CN" w:bidi="ar-SA"/>
        </w:rPr>
        <w:t>2：</w:t>
      </w:r>
      <w:r>
        <w:rPr>
          <w:rFonts w:hint="eastAsia" w:ascii="方正仿宋_GBK" w:hAnsi="方正仿宋_GBK" w:eastAsia="方正仿宋_GBK" w:cs="方正仿宋_GBK"/>
          <w:b/>
          <w:bCs/>
        </w:rPr>
        <w:t>面向东盟</w:t>
      </w:r>
      <w:r>
        <w:rPr>
          <w:rFonts w:hint="eastAsia" w:ascii="方正仿宋_GBK" w:hAnsi="方正仿宋_GBK" w:eastAsia="方正仿宋_GBK" w:cs="方正仿宋_GBK"/>
          <w:b/>
          <w:bCs/>
          <w:lang w:eastAsia="zh-CN"/>
        </w:rPr>
        <w:t>的</w:t>
      </w:r>
      <w:r>
        <w:rPr>
          <w:rFonts w:hint="eastAsia" w:ascii="方正仿宋_GBK" w:hAnsi="方正仿宋_GBK" w:eastAsia="方正仿宋_GBK" w:cs="方正仿宋_GBK"/>
          <w:b/>
          <w:bCs/>
        </w:rPr>
        <w:t>轨道交通隧道安全技术研发与应用研究</w:t>
      </w:r>
      <w:bookmarkEnd w:id="16"/>
      <w:bookmarkEnd w:id="17"/>
      <w:bookmarkEnd w:id="18"/>
    </w:p>
    <w:p w14:paraId="570F502D">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hint="eastAsia" w:ascii="Times New Roman" w:hAnsi="Times New Roman" w:eastAsia="仿宋_GB2312"/>
          <w:b/>
          <w:bCs/>
          <w:sz w:val="32"/>
          <w:szCs w:val="32"/>
        </w:rPr>
        <w:t>研究内容：</w:t>
      </w:r>
      <w:r>
        <w:rPr>
          <w:rFonts w:hint="eastAsia" w:ascii="Times New Roman" w:hAnsi="Times New Roman" w:eastAsia="仿宋_GB2312"/>
          <w:sz w:val="32"/>
          <w:szCs w:val="32"/>
        </w:rPr>
        <w:t>面向东盟合作，针对传统的钢环加固修复技术成本高、施工面大、施工周期长等问题，探索延长管片使用寿命、减少维护成本、减少交通中断时间的创新技术，研究一体化压铸高强度合金构件技术、装配式复合施工技术。研发用于隧道缺陷和病害整治的高强度合金加固构件，解决现有支撑机构中单片板材较重，施工难度、风险较高、对焊接要求较高的问题，研发装配式复合施工技术；要求在不停运，安装速度快，不占用轨道交通施工资源的基础上，提供一种全新的造价低于传统钢环修复施工技术方案。</w:t>
      </w:r>
    </w:p>
    <w:p w14:paraId="5FE9F5FA">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hint="eastAsia" w:ascii="Times New Roman" w:hAnsi="Times New Roman" w:eastAsia="仿宋_GB2312"/>
          <w:b/>
          <w:bCs/>
          <w:sz w:val="32"/>
          <w:szCs w:val="32"/>
        </w:rPr>
        <w:t>考核指标：</w:t>
      </w:r>
      <w:r>
        <w:rPr>
          <w:rFonts w:ascii="Times New Roman" w:hAnsi="Times New Roman" w:eastAsia="仿宋_GB2312"/>
          <w:sz w:val="32"/>
          <w:szCs w:val="32"/>
        </w:rPr>
        <w:t>（</w:t>
      </w:r>
      <w:r>
        <w:rPr>
          <w:rFonts w:hint="eastAsia" w:ascii="Times New Roman" w:hAnsi="Times New Roman" w:eastAsia="仿宋_GB2312"/>
          <w:sz w:val="32"/>
          <w:szCs w:val="32"/>
        </w:rPr>
        <w:t>1</w:t>
      </w:r>
      <w:r>
        <w:rPr>
          <w:rFonts w:ascii="Times New Roman" w:hAnsi="Times New Roman" w:eastAsia="仿宋_GB2312"/>
          <w:sz w:val="32"/>
          <w:szCs w:val="32"/>
        </w:rPr>
        <w:t>）突破核心关键技术1项，突破一体化压铸高强度合金构件关键技术1项；（2）申报管片修复技术相关发明专利1件，实用新型专利4件；（3）从传统的单环加固修复时间35小时减少至3小时；（4）节约单环加固修复成本30%以上；（5）研究成果在国内外3个以上城市进行示范应用，需提供应用用户单位证明及用户评价；（6）项目实施期间的销售收入达到20亿元；（7）提升参研单位的隧道交通安全产学研团队的力量与水平，培养和提高中国和东盟国家一批科研骨干的专业素养和业务能力；（8）引进或培养硕士研究生8人；（9）与东盟国家合作，培养提高中国和东盟国家一批科研骨干的专业素养和业务能力，开展与东盟国家人才合作与交流，不少于8人次。</w:t>
      </w:r>
    </w:p>
    <w:p w14:paraId="18A0DC4C">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hint="eastAsia" w:ascii="Times New Roman" w:hAnsi="Times New Roman" w:eastAsia="仿宋_GB2312"/>
          <w:b/>
          <w:bCs/>
          <w:sz w:val="32"/>
          <w:szCs w:val="32"/>
        </w:rPr>
        <w:t>实施年限：</w:t>
      </w:r>
      <w:r>
        <w:rPr>
          <w:rFonts w:hint="eastAsia" w:ascii="Times New Roman" w:hAnsi="Times New Roman" w:eastAsia="仿宋_GB2312"/>
          <w:sz w:val="32"/>
          <w:szCs w:val="32"/>
        </w:rPr>
        <w:t>3</w:t>
      </w:r>
      <w:r>
        <w:rPr>
          <w:rFonts w:ascii="Times New Roman" w:hAnsi="Times New Roman" w:eastAsia="仿宋_GB2312"/>
          <w:sz w:val="32"/>
          <w:szCs w:val="32"/>
        </w:rPr>
        <w:t>年。</w:t>
      </w:r>
    </w:p>
    <w:p w14:paraId="35EE4417">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资助经费：</w:t>
      </w:r>
      <w:r>
        <w:rPr>
          <w:rFonts w:hint="eastAsia" w:ascii="Times New Roman" w:hAnsi="Times New Roman" w:eastAsia="仿宋_GB2312"/>
          <w:sz w:val="32"/>
          <w:szCs w:val="32"/>
        </w:rPr>
        <w:t>300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5</w:t>
      </w:r>
      <w:r>
        <w:rPr>
          <w:rFonts w:ascii="Times New Roman" w:hAnsi="Times New Roman" w:eastAsia="仿宋_GB2312"/>
          <w:sz w:val="32"/>
          <w:szCs w:val="32"/>
        </w:rPr>
        <w:t>00万元。</w:t>
      </w:r>
    </w:p>
    <w:p w14:paraId="5BBD6B9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ascii="Times New Roman" w:hAnsi="Times New Roman" w:eastAsia="仿宋_GB2312"/>
          <w:b/>
          <w:bCs/>
          <w:sz w:val="32"/>
          <w:szCs w:val="32"/>
        </w:rPr>
        <w:t>资助方式：</w:t>
      </w:r>
      <w:r>
        <w:rPr>
          <w:rFonts w:ascii="Times New Roman" w:hAnsi="Times New Roman" w:eastAsia="仿宋_GB2312"/>
          <w:sz w:val="32"/>
          <w:szCs w:val="32"/>
        </w:rPr>
        <w:t>前资助</w:t>
      </w:r>
      <w:r>
        <w:rPr>
          <w:rFonts w:hint="eastAsia" w:ascii="Times New Roman" w:hAnsi="Times New Roman" w:eastAsia="仿宋_GB2312"/>
          <w:sz w:val="32"/>
          <w:szCs w:val="32"/>
        </w:rPr>
        <w:t>。企业牵头申报的项目，企业配套经费与财政经费投入比不低于3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1。非企业牵头申报的项目，企业配套经费与企业获得的财政经费投入比不低于3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w:t>
      </w:r>
    </w:p>
    <w:p w14:paraId="6B942731">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rPr>
      </w:pPr>
      <w:r>
        <w:rPr>
          <w:rFonts w:hint="eastAsia" w:ascii="Times New Roman" w:hAnsi="Times New Roman" w:eastAsia="仿宋_GB2312" w:cs="Times New Roman"/>
          <w:b/>
          <w:bCs/>
          <w:sz w:val="32"/>
          <w:szCs w:val="32"/>
        </w:rPr>
        <w:t>申报要求：</w:t>
      </w:r>
      <w:r>
        <w:rPr>
          <w:rFonts w:hint="eastAsia" w:ascii="Times New Roman" w:hAnsi="Times New Roman" w:eastAsia="仿宋_GB2312" w:cs="Times New Roman"/>
          <w:sz w:val="32"/>
          <w:szCs w:val="32"/>
        </w:rPr>
        <w:t>须由中国—东盟科技城范围内的企业、高校、科研院所等企事业单位牵头申报。须由南宁市科技局出具推荐</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需要提供查新报告。</w:t>
      </w:r>
      <w:bookmarkStart w:id="19" w:name="_Toc1899031523"/>
      <w:bookmarkStart w:id="20" w:name="_Toc272565915"/>
    </w:p>
    <w:p w14:paraId="46AA6C5E">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方正仿宋_GBK" w:hAnsi="方正仿宋_GBK" w:eastAsia="方正仿宋_GBK" w:cs="方正仿宋_GBK"/>
          <w:b/>
          <w:bCs/>
        </w:rPr>
      </w:pPr>
      <w:bookmarkStart w:id="21" w:name="_Toc300663751"/>
      <w:r>
        <w:rPr>
          <w:rFonts w:hint="eastAsia" w:ascii="方正仿宋_GBK" w:hAnsi="方正仿宋_GBK" w:eastAsia="方正仿宋_GBK" w:cs="方正仿宋_GBK"/>
          <w:b/>
          <w:bCs/>
        </w:rPr>
        <w:t>方向</w:t>
      </w:r>
      <w:r>
        <w:rPr>
          <w:rFonts w:hint="eastAsia" w:ascii="Times New Roman" w:hAnsi="Times New Roman" w:eastAsia="仿宋_GB2312" w:cs="Times New Roman"/>
          <w:b/>
          <w:bCs/>
          <w:kern w:val="2"/>
          <w:sz w:val="32"/>
          <w:szCs w:val="32"/>
          <w:lang w:val="en-US" w:eastAsia="zh-CN" w:bidi="ar-SA"/>
        </w:rPr>
        <w:t>3：</w:t>
      </w:r>
      <w:r>
        <w:rPr>
          <w:rFonts w:hint="eastAsia" w:ascii="方正仿宋_GBK" w:hAnsi="方正仿宋_GBK" w:eastAsia="方正仿宋_GBK" w:cs="方正仿宋_GBK"/>
          <w:b/>
          <w:bCs/>
          <w:spacing w:val="-6"/>
          <w:sz w:val="32"/>
        </w:rPr>
        <w:t>面向东盟数智化绿色建造成套技术与装备研发及应用</w:t>
      </w:r>
      <w:bookmarkEnd w:id="19"/>
      <w:bookmarkEnd w:id="20"/>
      <w:bookmarkEnd w:id="21"/>
    </w:p>
    <w:p w14:paraId="2C0D9EA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研究内容：</w:t>
      </w:r>
      <w:r>
        <w:rPr>
          <w:rFonts w:hint="eastAsia" w:ascii="Times New Roman" w:hAnsi="Times New Roman" w:eastAsia="仿宋_GB2312"/>
          <w:sz w:val="32"/>
          <w:szCs w:val="32"/>
        </w:rPr>
        <w:t>针对东盟国家社会经济发展、人口不断增多，大量工程建设和城市更新对先进的绿色建造技术（包括材料和设备等）具有迫切的需求的问题，研究低碳建材与智能制备；工厂化智能制造关键技术与装备；基于BIM和模块化的现场组装与安装；智能化质量监控集成与示范生产线建设等关键技术，建立实现“固废-原料-产品-产业”的全产业链体系，突破关键技术瓶颈，形成低碳混凝土多路径高性价比产品系列开发及应用示范，建成数智化制造和建设产业化平台，实现绿色转型。</w:t>
      </w:r>
    </w:p>
    <w:p w14:paraId="38E6CE82">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考核指标：</w:t>
      </w:r>
      <w:r>
        <w:rPr>
          <w:rFonts w:hint="eastAsia" w:ascii="Times New Roman" w:hAnsi="Times New Roman" w:eastAsia="仿宋_GB2312"/>
          <w:sz w:val="32"/>
          <w:szCs w:val="32"/>
        </w:rPr>
        <w:t>（1）建成智能3D打印年产不小于30万吨再生混凝土示范生产线3条以上，生产成本降低40%以上；（2）在广西或东盟国家建设研究基地和示范生产基地2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3个；（3）研发智慧化分选预处理一体化技术2项以上，提出基于现代物联网和5G通讯技术的3D打印混凝土构件质量检测方法等新方法≥2项，开发长时持荷、长行程顶升装备1套，开发再生粉料制备多品种低碳混凝土关键技术≥3项；（4）再生微粉28天活性指数≥80%，再生砂浆中再生砂占细骨料比例达100%，抗压强度≥15MPa，保水率≥95%，再生混凝土中再生砂占细骨料比例≥30%；（5）开发高性能3D打印装备和智能下料、搅拌以及成型装备2套以上；（6）新技术或产品新增产值≥3亿元；（7）申请发明专利≥20件，获得授权10件，编制标准/规范≥10部。</w:t>
      </w:r>
    </w:p>
    <w:p w14:paraId="1A8FE84D">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hint="eastAsia" w:ascii="Times New Roman" w:hAnsi="Times New Roman" w:eastAsia="仿宋_GB2312"/>
          <w:b/>
          <w:bCs/>
          <w:sz w:val="32"/>
          <w:szCs w:val="32"/>
        </w:rPr>
        <w:t>实施年限：</w:t>
      </w:r>
      <w:r>
        <w:rPr>
          <w:rFonts w:hint="eastAsia" w:ascii="Times New Roman" w:hAnsi="Times New Roman" w:eastAsia="仿宋_GB2312"/>
          <w:sz w:val="32"/>
          <w:szCs w:val="32"/>
        </w:rPr>
        <w:t>3</w:t>
      </w:r>
      <w:r>
        <w:rPr>
          <w:rFonts w:ascii="Times New Roman" w:hAnsi="Times New Roman" w:eastAsia="仿宋_GB2312"/>
          <w:sz w:val="32"/>
          <w:szCs w:val="32"/>
        </w:rPr>
        <w:t>年。</w:t>
      </w:r>
    </w:p>
    <w:p w14:paraId="1C0BC716">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资助经费：</w:t>
      </w:r>
      <w:r>
        <w:rPr>
          <w:rFonts w:hint="eastAsia" w:ascii="Times New Roman" w:hAnsi="Times New Roman" w:eastAsia="仿宋_GB2312"/>
          <w:sz w:val="32"/>
          <w:szCs w:val="32"/>
        </w:rPr>
        <w:t>300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5</w:t>
      </w:r>
      <w:r>
        <w:rPr>
          <w:rFonts w:ascii="Times New Roman" w:hAnsi="Times New Roman" w:eastAsia="仿宋_GB2312"/>
          <w:sz w:val="32"/>
          <w:szCs w:val="32"/>
        </w:rPr>
        <w:t>00万元。</w:t>
      </w:r>
    </w:p>
    <w:p w14:paraId="4CED636B">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ascii="Times New Roman" w:hAnsi="Times New Roman" w:eastAsia="仿宋_GB2312"/>
          <w:b/>
          <w:bCs/>
          <w:sz w:val="32"/>
          <w:szCs w:val="32"/>
        </w:rPr>
        <w:t>资助方式：</w:t>
      </w:r>
      <w:r>
        <w:rPr>
          <w:rFonts w:ascii="Times New Roman" w:hAnsi="Times New Roman" w:eastAsia="仿宋_GB2312"/>
          <w:sz w:val="32"/>
          <w:szCs w:val="32"/>
        </w:rPr>
        <w:t>前资助</w:t>
      </w:r>
      <w:r>
        <w:rPr>
          <w:rFonts w:hint="eastAsia" w:ascii="Times New Roman" w:hAnsi="Times New Roman" w:eastAsia="仿宋_GB2312"/>
          <w:sz w:val="32"/>
          <w:szCs w:val="32"/>
        </w:rPr>
        <w:t>。企业牵头申报的项目，企业配套经费与财政经费投入比不低于3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1。非企业牵头申报的项目，企业配套经费与企业获得的财政经费投入比不低于3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w:t>
      </w:r>
    </w:p>
    <w:p w14:paraId="5F0CD8B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rPr>
      </w:pPr>
      <w:r>
        <w:rPr>
          <w:rFonts w:hint="eastAsia" w:ascii="Times New Roman" w:hAnsi="Times New Roman" w:eastAsia="仿宋_GB2312" w:cs="Times New Roman"/>
          <w:b/>
          <w:bCs/>
          <w:sz w:val="32"/>
          <w:szCs w:val="32"/>
        </w:rPr>
        <w:t>申报要求：</w:t>
      </w:r>
      <w:r>
        <w:rPr>
          <w:rFonts w:hint="eastAsia" w:ascii="Times New Roman" w:hAnsi="Times New Roman" w:eastAsia="仿宋_GB2312" w:cs="Times New Roman"/>
          <w:sz w:val="32"/>
          <w:szCs w:val="32"/>
        </w:rPr>
        <w:t>须由中国—东盟科技城范围内的企业、高校、科研院所等企事业单位牵头申报。须由南宁市科技局出具推荐</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需要提供查新报告。</w:t>
      </w:r>
      <w:bookmarkStart w:id="22" w:name="_Toc1480640973"/>
      <w:bookmarkStart w:id="23" w:name="_Toc1362212831"/>
    </w:p>
    <w:p w14:paraId="09E32F36">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方正仿宋_GBK" w:hAnsi="方正仿宋_GBK" w:eastAsia="方正仿宋_GBK" w:cs="方正仿宋_GBK"/>
          <w:b/>
          <w:bCs/>
        </w:rPr>
      </w:pPr>
      <w:bookmarkStart w:id="24" w:name="_Toc1889438330"/>
      <w:r>
        <w:rPr>
          <w:rFonts w:hint="eastAsia" w:ascii="方正仿宋_GBK" w:hAnsi="方正仿宋_GBK" w:eastAsia="方正仿宋_GBK" w:cs="方正仿宋_GBK"/>
          <w:b/>
          <w:bCs/>
        </w:rPr>
        <w:t>方向</w:t>
      </w:r>
      <w:r>
        <w:rPr>
          <w:rFonts w:hint="eastAsia" w:ascii="Times New Roman" w:hAnsi="Times New Roman" w:eastAsia="仿宋_GB2312" w:cs="Times New Roman"/>
          <w:b/>
          <w:bCs/>
          <w:kern w:val="2"/>
          <w:sz w:val="32"/>
          <w:szCs w:val="32"/>
          <w:lang w:val="en-US" w:eastAsia="zh-CN" w:bidi="ar-SA"/>
        </w:rPr>
        <w:t>4：</w:t>
      </w:r>
      <w:r>
        <w:rPr>
          <w:rFonts w:hint="eastAsia" w:ascii="方正仿宋_GBK" w:hAnsi="方正仿宋_GBK" w:eastAsia="方正仿宋_GBK" w:cs="方正仿宋_GBK"/>
          <w:b/>
          <w:bCs/>
        </w:rPr>
        <w:t>面向中国</w:t>
      </w:r>
      <w:r>
        <w:rPr>
          <w:rFonts w:hint="eastAsia" w:ascii="方正仿宋_GBK" w:hAnsi="方正仿宋_GBK" w:eastAsia="方正仿宋_GBK" w:cs="方正仿宋_GBK"/>
          <w:b/>
          <w:bCs/>
          <w:lang w:val="en" w:eastAsia="zh-CN"/>
        </w:rPr>
        <w:t>—</w:t>
      </w:r>
      <w:r>
        <w:rPr>
          <w:rFonts w:hint="eastAsia" w:ascii="方正仿宋_GBK" w:hAnsi="方正仿宋_GBK" w:eastAsia="方正仿宋_GBK" w:cs="方正仿宋_GBK"/>
          <w:b/>
          <w:bCs/>
        </w:rPr>
        <w:t>东盟的数字证照跨境服务平台研究与示范应用</w:t>
      </w:r>
      <w:bookmarkEnd w:id="22"/>
      <w:bookmarkEnd w:id="23"/>
      <w:bookmarkEnd w:id="24"/>
    </w:p>
    <w:p w14:paraId="1B7BD4E1">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cs="宋体"/>
          <w:b/>
          <w:bCs/>
          <w:color w:val="000000"/>
          <w:sz w:val="32"/>
          <w:szCs w:val="32"/>
        </w:rPr>
        <w:t>研究内容</w:t>
      </w:r>
      <w:r>
        <w:rPr>
          <w:rFonts w:hint="eastAsia" w:ascii="Times New Roman" w:hAnsi="Times New Roman" w:eastAsia="仿宋_GB2312"/>
          <w:sz w:val="32"/>
          <w:szCs w:val="32"/>
        </w:rPr>
        <w:t>：针对中国与东盟间证照互认存在办理时间长、流程繁琐、效率低、隐私数据应用存在信息泄露的风险等问题，研究与东盟的数字基础设施互联互通，数据互认机制，建立跨境数据安全管理机制和技术实现路径，构建面向中国与东盟国家公众的基础信息知识库，探索东盟各国现有数字基础设施的特点和差异，提高整体效率和可靠性。</w:t>
      </w:r>
    </w:p>
    <w:p w14:paraId="3A5ED2D8">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cs="宋体"/>
          <w:b/>
          <w:bCs/>
          <w:color w:val="000000"/>
          <w:sz w:val="32"/>
          <w:szCs w:val="32"/>
        </w:rPr>
        <w:t>考核指标</w:t>
      </w:r>
      <w:r>
        <w:rPr>
          <w:rFonts w:hint="eastAsia" w:ascii="Times New Roman" w:hAnsi="Times New Roman" w:eastAsia="仿宋_GB2312"/>
          <w:sz w:val="32"/>
          <w:szCs w:val="32"/>
        </w:rPr>
        <w:t>：（1）开发服务平台</w:t>
      </w:r>
      <w:r>
        <w:rPr>
          <w:rFonts w:ascii="Times New Roman" w:hAnsi="Times New Roman" w:eastAsia="仿宋_GB2312"/>
          <w:sz w:val="32"/>
          <w:szCs w:val="32"/>
          <w:lang w:val="en"/>
        </w:rPr>
        <w:t>1个</w:t>
      </w:r>
      <w:r>
        <w:rPr>
          <w:rFonts w:hint="eastAsia" w:ascii="Times New Roman" w:hAnsi="Times New Roman" w:eastAsia="仿宋_GB2312"/>
          <w:sz w:val="32"/>
          <w:szCs w:val="32"/>
        </w:rPr>
        <w:t>，建设完成</w:t>
      </w:r>
      <w:r>
        <w:rPr>
          <w:rFonts w:ascii="Times New Roman" w:hAnsi="Times New Roman" w:eastAsia="仿宋_GB2312"/>
          <w:sz w:val="32"/>
          <w:szCs w:val="32"/>
          <w:lang w:val="en"/>
        </w:rPr>
        <w:t>1项</w:t>
      </w:r>
      <w:r>
        <w:rPr>
          <w:rFonts w:hint="eastAsia" w:ascii="Times New Roman" w:hAnsi="Times New Roman" w:eastAsia="仿宋_GB2312"/>
          <w:sz w:val="32"/>
          <w:szCs w:val="32"/>
        </w:rPr>
        <w:t>应用试点；（2）部署VC（可验证凭证）服务、DID（数字身份）服务、跨链中继器等应用服务和智能合约，实现与东盟各国区块链网络互联、数据互认，系统整体吞吐能力不低于2000tps；（3）建立区块链跨境交互服务平台1套，服务个人用户不少于100万人次，降低人力和时间成本60%，年均直接经济效益3000万元以上；（4）申请或获得授权发明专利6项以上。</w:t>
      </w:r>
    </w:p>
    <w:p w14:paraId="4B487D74">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hint="eastAsia" w:ascii="Times New Roman" w:hAnsi="Times New Roman" w:eastAsia="仿宋_GB2312" w:cs="宋体"/>
          <w:b/>
          <w:bCs/>
          <w:color w:val="000000"/>
          <w:sz w:val="32"/>
          <w:szCs w:val="32"/>
        </w:rPr>
        <w:t>实施年限：</w:t>
      </w:r>
      <w:r>
        <w:rPr>
          <w:rFonts w:hint="eastAsia" w:ascii="Times New Roman" w:hAnsi="Times New Roman" w:eastAsia="仿宋_GB2312"/>
          <w:sz w:val="32"/>
          <w:szCs w:val="32"/>
        </w:rPr>
        <w:t>3</w:t>
      </w:r>
      <w:r>
        <w:rPr>
          <w:rFonts w:ascii="Times New Roman" w:hAnsi="Times New Roman" w:eastAsia="仿宋_GB2312"/>
          <w:sz w:val="32"/>
          <w:szCs w:val="32"/>
        </w:rPr>
        <w:t>年。</w:t>
      </w:r>
    </w:p>
    <w:p w14:paraId="1DA96621">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资助经费：</w:t>
      </w:r>
      <w:r>
        <w:rPr>
          <w:rFonts w:hint="eastAsia" w:ascii="Times New Roman" w:hAnsi="Times New Roman" w:eastAsia="仿宋_GB2312"/>
          <w:sz w:val="32"/>
          <w:szCs w:val="32"/>
        </w:rPr>
        <w:t>300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5</w:t>
      </w:r>
      <w:r>
        <w:rPr>
          <w:rFonts w:ascii="Times New Roman" w:hAnsi="Times New Roman" w:eastAsia="仿宋_GB2312"/>
          <w:sz w:val="32"/>
          <w:szCs w:val="32"/>
        </w:rPr>
        <w:t>00万元。</w:t>
      </w:r>
    </w:p>
    <w:p w14:paraId="1EC90D18">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ascii="Times New Roman" w:hAnsi="Times New Roman" w:eastAsia="仿宋_GB2312"/>
          <w:b/>
          <w:bCs/>
          <w:sz w:val="32"/>
          <w:szCs w:val="32"/>
        </w:rPr>
        <w:t>资助方式：</w:t>
      </w:r>
      <w:r>
        <w:rPr>
          <w:rFonts w:ascii="Times New Roman" w:hAnsi="Times New Roman" w:eastAsia="仿宋_GB2312"/>
          <w:sz w:val="32"/>
          <w:szCs w:val="32"/>
        </w:rPr>
        <w:t>前资助</w:t>
      </w:r>
      <w:r>
        <w:rPr>
          <w:rFonts w:hint="eastAsia" w:ascii="Times New Roman" w:hAnsi="Times New Roman" w:eastAsia="仿宋_GB2312"/>
          <w:sz w:val="32"/>
          <w:szCs w:val="32"/>
        </w:rPr>
        <w:t>。企业牵头申报的项目，企业配套经费与财政经费投入比不低于3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1。非企业牵头申报的项目，企业配套经费与企业获得的财政经费投入比不低于3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w:t>
      </w:r>
    </w:p>
    <w:p w14:paraId="5C3915B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pPr>
      <w:r>
        <w:rPr>
          <w:rFonts w:hint="eastAsia" w:ascii="Times New Roman" w:hAnsi="Times New Roman" w:eastAsia="仿宋_GB2312" w:cs="Times New Roman"/>
          <w:b/>
          <w:bCs/>
          <w:sz w:val="32"/>
          <w:szCs w:val="32"/>
        </w:rPr>
        <w:t>申报要求：</w:t>
      </w:r>
      <w:r>
        <w:rPr>
          <w:rFonts w:hint="eastAsia" w:ascii="Times New Roman" w:hAnsi="Times New Roman" w:eastAsia="仿宋_GB2312" w:cs="Times New Roman"/>
          <w:sz w:val="32"/>
          <w:szCs w:val="32"/>
        </w:rPr>
        <w:t>须由中国—东盟科技城范围内的企业、高校、科研院所等企事业单位牵头申报。须由南宁市科技局出具推荐</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需要提供查新报告。</w:t>
      </w:r>
      <w:bookmarkStart w:id="25" w:name="_Toc1246070377"/>
      <w:bookmarkStart w:id="26" w:name="_Toc9675876"/>
    </w:p>
    <w:bookmarkEnd w:id="25"/>
    <w:bookmarkEnd w:id="26"/>
    <w:p w14:paraId="39731C7A">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方正仿宋_GBK" w:hAnsi="方正仿宋_GBK" w:eastAsia="方正仿宋_GBK" w:cs="方正仿宋_GBK"/>
          <w:b/>
          <w:bCs/>
        </w:rPr>
      </w:pPr>
      <w:bookmarkStart w:id="27" w:name="_Toc1848371457"/>
      <w:bookmarkStart w:id="28" w:name="_Toc2100928069"/>
      <w:bookmarkStart w:id="29" w:name="_Toc1204984991"/>
      <w:r>
        <w:rPr>
          <w:rFonts w:hint="eastAsia" w:ascii="方正仿宋_GBK" w:hAnsi="方正仿宋_GBK" w:eastAsia="方正仿宋_GBK" w:cs="方正仿宋_GBK"/>
          <w:b/>
          <w:bCs/>
        </w:rPr>
        <w:t>方向</w:t>
      </w:r>
      <w:r>
        <w:rPr>
          <w:rFonts w:hint="eastAsia" w:ascii="Times New Roman" w:hAnsi="Times New Roman" w:eastAsia="仿宋_GB2312" w:cs="Times New Roman"/>
          <w:b/>
          <w:bCs/>
          <w:kern w:val="2"/>
          <w:sz w:val="32"/>
          <w:szCs w:val="32"/>
          <w:lang w:val="en-US" w:eastAsia="zh-CN" w:bidi="ar-SA"/>
        </w:rPr>
        <w:t>5：</w:t>
      </w:r>
      <w:r>
        <w:rPr>
          <w:rFonts w:hint="eastAsia" w:ascii="方正仿宋_GBK" w:hAnsi="方正仿宋_GBK" w:eastAsia="方正仿宋_GBK" w:cs="方正仿宋_GBK"/>
          <w:b/>
          <w:bCs/>
        </w:rPr>
        <w:t>面向东盟重大灾害监测预警技术研发与应用示范</w:t>
      </w:r>
      <w:bookmarkEnd w:id="27"/>
      <w:bookmarkEnd w:id="28"/>
      <w:bookmarkEnd w:id="29"/>
    </w:p>
    <w:p w14:paraId="03F0A88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研究内容：</w:t>
      </w:r>
      <w:r>
        <w:rPr>
          <w:rFonts w:hint="eastAsia" w:ascii="Times New Roman" w:hAnsi="Times New Roman" w:eastAsia="仿宋_GB2312"/>
          <w:sz w:val="32"/>
          <w:szCs w:val="32"/>
        </w:rPr>
        <w:t>针对台风、风暴潮等东盟地区的重大自然灾害综合监测问题，研究大气水汽通量探测、海面风场和风暴潮潮位探测、极端降水触发和增强的关键因子前兆特征以及三维水汽同化等关键技术，解决自然灾害参数预警、突变阶段关键特征参数的敏感性等技术难题，研发集成监测数据采集与处理、三维可视化表达、灾害预警的综合监测预警系统平台，实现东盟典型区域的台风、风暴潮等自然灾害综合的监测和预警的系统创新应用。</w:t>
      </w:r>
    </w:p>
    <w:p w14:paraId="742E42E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考核指标：</w:t>
      </w:r>
      <w:r>
        <w:rPr>
          <w:rFonts w:hint="eastAsia" w:ascii="Times New Roman" w:hAnsi="Times New Roman" w:eastAsia="仿宋_GB2312"/>
          <w:sz w:val="32"/>
          <w:szCs w:val="32"/>
        </w:rPr>
        <w:t>（1）气象监测站≥300个，风廓线雷达站≥100个，大气水汽含量监测误差≤3mm，密度误差≤1.5g/m3，水汽输送监测误差≤15kg/（m·s）；（2）海面风场监测精度≥10%，潮汐动态监测精度≥15cm，预警模型空间分辨率≤3公里，时间分辨率优于1小时；（3）在东盟国家部署建立运行自然灾害综合监测预警系统平台1套，申请发明专利10项，制订行业标准1项；（4）项目实施期直接经济效益达2亿元以上。</w:t>
      </w:r>
    </w:p>
    <w:p w14:paraId="48EA1439">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hint="eastAsia" w:ascii="Times New Roman" w:hAnsi="Times New Roman" w:eastAsia="仿宋_GB2312"/>
          <w:b/>
          <w:bCs/>
          <w:sz w:val="32"/>
          <w:szCs w:val="32"/>
        </w:rPr>
        <w:t>实施年限：</w:t>
      </w:r>
      <w:r>
        <w:rPr>
          <w:rFonts w:hint="eastAsia" w:ascii="Times New Roman" w:hAnsi="Times New Roman" w:eastAsia="仿宋_GB2312"/>
          <w:sz w:val="32"/>
          <w:szCs w:val="32"/>
        </w:rPr>
        <w:t>3</w:t>
      </w:r>
      <w:r>
        <w:rPr>
          <w:rFonts w:ascii="Times New Roman" w:hAnsi="Times New Roman" w:eastAsia="仿宋_GB2312"/>
          <w:sz w:val="32"/>
          <w:szCs w:val="32"/>
        </w:rPr>
        <w:t>年。</w:t>
      </w:r>
    </w:p>
    <w:p w14:paraId="7B8BC12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资助经费：</w:t>
      </w:r>
      <w:r>
        <w:rPr>
          <w:rFonts w:hint="eastAsia" w:ascii="Times New Roman" w:hAnsi="Times New Roman" w:eastAsia="仿宋_GB2312"/>
          <w:sz w:val="32"/>
          <w:szCs w:val="32"/>
        </w:rPr>
        <w:t>300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5</w:t>
      </w:r>
      <w:r>
        <w:rPr>
          <w:rFonts w:ascii="Times New Roman" w:hAnsi="Times New Roman" w:eastAsia="仿宋_GB2312"/>
          <w:sz w:val="32"/>
          <w:szCs w:val="32"/>
        </w:rPr>
        <w:t>00万元。</w:t>
      </w:r>
    </w:p>
    <w:p w14:paraId="1951CDB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ascii="Times New Roman" w:hAnsi="Times New Roman" w:eastAsia="仿宋_GB2312"/>
          <w:b/>
          <w:bCs/>
          <w:sz w:val="32"/>
          <w:szCs w:val="32"/>
        </w:rPr>
        <w:t>资助方式：</w:t>
      </w:r>
      <w:r>
        <w:rPr>
          <w:rFonts w:ascii="Times New Roman" w:hAnsi="Times New Roman" w:eastAsia="仿宋_GB2312"/>
          <w:sz w:val="32"/>
          <w:szCs w:val="32"/>
        </w:rPr>
        <w:t>前资助</w:t>
      </w:r>
      <w:r>
        <w:rPr>
          <w:rFonts w:hint="eastAsia" w:ascii="Times New Roman" w:hAnsi="Times New Roman" w:eastAsia="仿宋_GB2312"/>
          <w:sz w:val="32"/>
          <w:szCs w:val="32"/>
        </w:rPr>
        <w:t>。企业牵头申报的项目，企业配套经费与财政经费投入比不低于3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1。非企业牵头申报的项目，企业配套经费与企业获得的财政经费投入比不低于3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w:t>
      </w:r>
    </w:p>
    <w:p w14:paraId="7C373BE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rPr>
      </w:pPr>
      <w:r>
        <w:rPr>
          <w:rFonts w:hint="eastAsia" w:ascii="Times New Roman" w:hAnsi="Times New Roman" w:eastAsia="仿宋_GB2312" w:cs="Times New Roman"/>
          <w:b/>
          <w:bCs/>
          <w:sz w:val="32"/>
          <w:szCs w:val="32"/>
        </w:rPr>
        <w:t>申报要求：</w:t>
      </w:r>
      <w:r>
        <w:rPr>
          <w:rFonts w:hint="eastAsia" w:ascii="Times New Roman" w:hAnsi="Times New Roman" w:eastAsia="仿宋_GB2312" w:cs="Times New Roman"/>
          <w:sz w:val="32"/>
          <w:szCs w:val="32"/>
        </w:rPr>
        <w:t>须由中国—东盟科技城范围内的企业、高校、科研院所等企事业单位牵头申报。须由南宁市科技局出具推荐</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需要提供查新报告。</w:t>
      </w:r>
      <w:bookmarkStart w:id="30" w:name="_Toc225476321"/>
      <w:bookmarkStart w:id="31" w:name="_Toc1875489075"/>
    </w:p>
    <w:p w14:paraId="027F4839">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方正仿宋_GBK" w:hAnsi="方正仿宋_GBK" w:eastAsia="方正仿宋_GBK" w:cs="方正仿宋_GBK"/>
          <w:b/>
          <w:bCs/>
        </w:rPr>
      </w:pPr>
      <w:bookmarkStart w:id="32" w:name="_Toc136022902"/>
      <w:r>
        <w:rPr>
          <w:rFonts w:hint="eastAsia" w:ascii="方正仿宋_GBK" w:hAnsi="方正仿宋_GBK" w:eastAsia="方正仿宋_GBK" w:cs="方正仿宋_GBK"/>
          <w:b/>
          <w:bCs/>
        </w:rPr>
        <w:t>方向</w:t>
      </w:r>
      <w:r>
        <w:rPr>
          <w:rFonts w:hint="eastAsia" w:ascii="Times New Roman" w:hAnsi="Times New Roman" w:eastAsia="仿宋_GB2312" w:cs="Times New Roman"/>
          <w:b/>
          <w:bCs/>
          <w:kern w:val="2"/>
          <w:sz w:val="32"/>
          <w:szCs w:val="32"/>
          <w:lang w:val="en-US" w:eastAsia="zh-CN" w:bidi="ar-SA"/>
        </w:rPr>
        <w:t>6：</w:t>
      </w:r>
      <w:r>
        <w:rPr>
          <w:rFonts w:hint="eastAsia" w:ascii="方正仿宋_GBK" w:hAnsi="方正仿宋_GBK" w:eastAsia="方正仿宋_GBK" w:cs="方正仿宋_GBK"/>
          <w:b/>
          <w:bCs/>
        </w:rPr>
        <w:t>基于智能模型的老缅泰地区替代种植技术支撑平台及示范应用</w:t>
      </w:r>
      <w:bookmarkEnd w:id="30"/>
      <w:bookmarkEnd w:id="31"/>
      <w:bookmarkEnd w:id="32"/>
    </w:p>
    <w:p w14:paraId="186BF397">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研究内容</w:t>
      </w:r>
      <w:r>
        <w:rPr>
          <w:rFonts w:hint="eastAsia" w:ascii="Times New Roman" w:hAnsi="Times New Roman" w:eastAsia="仿宋_GB2312"/>
          <w:sz w:val="32"/>
          <w:szCs w:val="32"/>
        </w:rPr>
        <w:t>：针对东南亚（老缅泰）罂粟种植难根除、替代种植难监管及产品跨境销售信誉保障的重要需求，研究罂粟和替代作物的精准识别、精准分割、三维重建、表型性状精准计算、种植密度精准估计等种植智能监控关键技术，研究基于人工智能和区块链技术的可信智能合约，开发具备替代作物种植动态监管、替代作物生长精准监控、农产品溯源和可信跨国交易等功能的技术平台，实现在东南亚（老缅泰）地区的示范应用及推广。</w:t>
      </w:r>
    </w:p>
    <w:p w14:paraId="0A5A44AE">
      <w:pPr>
        <w:keepNext w:val="0"/>
        <w:keepLines w:val="0"/>
        <w:pageBreakBefore w:val="0"/>
        <w:widowControl w:val="0"/>
        <w:kinsoku/>
        <w:wordWrap/>
        <w:overflowPunct/>
        <w:topLinePunct w:val="0"/>
        <w:autoSpaceDE/>
        <w:autoSpaceDN/>
        <w:bidi w:val="0"/>
        <w:adjustRightInd/>
        <w:snapToGrid/>
        <w:spacing w:line="540" w:lineRule="exact"/>
        <w:ind w:left="0"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考核指标</w:t>
      </w: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）罂粟和替代作物的识别精度≥95%，替代作物表型性状参数计算精度达到厘米级，平台响应时间≤200ms；（</w:t>
      </w:r>
      <w:r>
        <w:rPr>
          <w:rFonts w:ascii="Times New Roman" w:hAnsi="Times New Roman" w:eastAsia="仿宋_GB2312"/>
          <w:sz w:val="32"/>
          <w:szCs w:val="32"/>
        </w:rPr>
        <w:t>2</w:t>
      </w:r>
      <w:r>
        <w:rPr>
          <w:rFonts w:hint="eastAsia" w:ascii="Times New Roman" w:hAnsi="Times New Roman" w:eastAsia="仿宋_GB2312"/>
          <w:sz w:val="32"/>
          <w:szCs w:val="32"/>
        </w:rPr>
        <w:t>）设计基于光纤同步的超宽生物芯片定位锚点设备，实现微流控检测设备多位置锚点识别和定位同步一致性；建立微流控高通量生物芯片数据库，包含超50000个微流控生物数据点，涵盖不少于5种不同生物样本种类，每个数据点不少于5个维度；（3）建立推广示范应用点2个及以上；（4）项目实施期间，实现销售收入≥1500万；（5）申请发明专利≥5件，申请实用新型专利≥10件，申请并获得软件著作权≥10项，在国内中文核心期刊发表专业论文≥10篇，在国外高水平期刊发表专业论文≥3篇。</w:t>
      </w:r>
    </w:p>
    <w:p w14:paraId="54EC3FB5">
      <w:pPr>
        <w:keepNext w:val="0"/>
        <w:keepLines w:val="0"/>
        <w:pageBreakBefore w:val="0"/>
        <w:widowControl w:val="0"/>
        <w:kinsoku/>
        <w:wordWrap/>
        <w:overflowPunct/>
        <w:topLinePunct w:val="0"/>
        <w:autoSpaceDE/>
        <w:autoSpaceDN/>
        <w:bidi w:val="0"/>
        <w:adjustRightInd/>
        <w:snapToGrid/>
        <w:spacing w:line="540" w:lineRule="exact"/>
        <w:ind w:left="0" w:firstLine="643" w:firstLineChars="200"/>
        <w:jc w:val="both"/>
        <w:textAlignment w:val="auto"/>
        <w:rPr>
          <w:rFonts w:ascii="Times New Roman" w:hAnsi="Times New Roman" w:eastAsia="仿宋_GB2312"/>
          <w:sz w:val="32"/>
          <w:szCs w:val="32"/>
        </w:rPr>
      </w:pPr>
      <w:r>
        <w:rPr>
          <w:rFonts w:hint="eastAsia" w:ascii="Times New Roman" w:hAnsi="Times New Roman" w:eastAsia="仿宋_GB2312"/>
          <w:b/>
          <w:bCs/>
          <w:sz w:val="32"/>
          <w:szCs w:val="32"/>
        </w:rPr>
        <w:t>实施年限</w:t>
      </w:r>
      <w:r>
        <w:rPr>
          <w:rFonts w:hint="eastAsia" w:ascii="Times New Roman" w:hAnsi="Times New Roman" w:eastAsia="仿宋_GB2312"/>
          <w:sz w:val="32"/>
          <w:szCs w:val="32"/>
        </w:rPr>
        <w:t>：3</w:t>
      </w:r>
      <w:r>
        <w:rPr>
          <w:rFonts w:ascii="Times New Roman" w:hAnsi="Times New Roman" w:eastAsia="仿宋_GB2312"/>
          <w:sz w:val="32"/>
          <w:szCs w:val="32"/>
        </w:rPr>
        <w:t>年。</w:t>
      </w:r>
    </w:p>
    <w:p w14:paraId="5C62F506">
      <w:pPr>
        <w:keepNext w:val="0"/>
        <w:keepLines w:val="0"/>
        <w:pageBreakBefore w:val="0"/>
        <w:widowControl w:val="0"/>
        <w:kinsoku/>
        <w:wordWrap/>
        <w:overflowPunct/>
        <w:topLinePunct w:val="0"/>
        <w:autoSpaceDE/>
        <w:autoSpaceDN/>
        <w:bidi w:val="0"/>
        <w:adjustRightInd/>
        <w:snapToGrid/>
        <w:spacing w:line="54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资助经费：</w:t>
      </w:r>
      <w:r>
        <w:rPr>
          <w:rFonts w:hint="eastAsia" w:ascii="Times New Roman" w:hAnsi="Times New Roman" w:eastAsia="仿宋_GB2312"/>
          <w:sz w:val="32"/>
          <w:szCs w:val="32"/>
        </w:rPr>
        <w:t>300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5</w:t>
      </w:r>
      <w:r>
        <w:rPr>
          <w:rFonts w:ascii="Times New Roman" w:hAnsi="Times New Roman" w:eastAsia="仿宋_GB2312"/>
          <w:sz w:val="32"/>
          <w:szCs w:val="32"/>
        </w:rPr>
        <w:t>00万元。</w:t>
      </w:r>
    </w:p>
    <w:p w14:paraId="064D7D7D">
      <w:pPr>
        <w:keepNext w:val="0"/>
        <w:keepLines w:val="0"/>
        <w:pageBreakBefore w:val="0"/>
        <w:widowControl w:val="0"/>
        <w:kinsoku/>
        <w:wordWrap/>
        <w:overflowPunct/>
        <w:topLinePunct w:val="0"/>
        <w:autoSpaceDE/>
        <w:autoSpaceDN/>
        <w:bidi w:val="0"/>
        <w:adjustRightInd/>
        <w:snapToGrid/>
        <w:spacing w:line="540" w:lineRule="exact"/>
        <w:ind w:left="0" w:firstLine="643" w:firstLineChars="200"/>
        <w:jc w:val="both"/>
        <w:textAlignment w:val="auto"/>
        <w:rPr>
          <w:rFonts w:hint="eastAsia" w:ascii="Times New Roman" w:hAnsi="Times New Roman" w:eastAsia="仿宋_GB2312"/>
          <w:sz w:val="32"/>
          <w:szCs w:val="32"/>
        </w:rPr>
      </w:pPr>
      <w:r>
        <w:rPr>
          <w:rFonts w:ascii="Times New Roman" w:hAnsi="Times New Roman" w:eastAsia="仿宋_GB2312"/>
          <w:b/>
          <w:bCs/>
          <w:sz w:val="32"/>
          <w:szCs w:val="32"/>
        </w:rPr>
        <w:t>资助方式：</w:t>
      </w:r>
      <w:r>
        <w:rPr>
          <w:rFonts w:ascii="Times New Roman" w:hAnsi="Times New Roman" w:eastAsia="仿宋_GB2312"/>
          <w:sz w:val="32"/>
          <w:szCs w:val="32"/>
        </w:rPr>
        <w:t>前资助</w:t>
      </w:r>
      <w:r>
        <w:rPr>
          <w:rFonts w:hint="eastAsia" w:ascii="Times New Roman" w:hAnsi="Times New Roman" w:eastAsia="仿宋_GB2312"/>
          <w:sz w:val="32"/>
          <w:szCs w:val="32"/>
        </w:rPr>
        <w:t>。企业牵头申报的项目，企业配套经费与财政经费投入比不低于3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1。非企业牵头申报的项目，企业配套经费与企业获得的财政经费投入比不低于3</w:t>
      </w:r>
      <w:r>
        <w:rPr>
          <w:rFonts w:hint="default" w:ascii="仿宋_GB2312" w:hAnsi="仿宋_GB2312" w:eastAsia="仿宋_GB2312" w:cs="仿宋_GB2312"/>
          <w:sz w:val="32"/>
          <w:szCs w:val="32"/>
          <w:lang w:val="en"/>
        </w:rPr>
        <w:t>:</w:t>
      </w:r>
      <w:r>
        <w:rPr>
          <w:rFonts w:hint="eastAsia" w:ascii="Times New Roman" w:hAnsi="Times New Roman" w:eastAsia="仿宋_GB2312"/>
          <w:sz w:val="32"/>
          <w:szCs w:val="32"/>
        </w:rPr>
        <w:t>1。</w:t>
      </w:r>
    </w:p>
    <w:p w14:paraId="32D30EDC">
      <w:pPr>
        <w:pStyle w:val="4"/>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rPr>
      </w:pPr>
      <w:bookmarkStart w:id="33" w:name="_Toc1330216700"/>
      <w:bookmarkStart w:id="34" w:name="_Toc518399164"/>
      <w:bookmarkStart w:id="35" w:name="_Toc1378213637"/>
      <w:r>
        <w:rPr>
          <w:rFonts w:hint="eastAsia" w:ascii="Times New Roman" w:hAnsi="Times New Roman" w:eastAsia="仿宋_GB2312" w:cs="Times New Roman"/>
          <w:b/>
          <w:bCs/>
          <w:sz w:val="32"/>
          <w:szCs w:val="32"/>
        </w:rPr>
        <w:t>申报要求：</w:t>
      </w:r>
      <w:r>
        <w:rPr>
          <w:rFonts w:hint="eastAsia" w:ascii="Times New Roman" w:hAnsi="Times New Roman" w:eastAsia="仿宋_GB2312" w:cs="Times New Roman"/>
          <w:sz w:val="32"/>
          <w:szCs w:val="32"/>
        </w:rPr>
        <w:t>须由中国—东盟科技城范围内的企业、高校、科研院所等企事业单位牵头申报。须由南宁市科技局出具推荐</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需要提供查新报告。</w:t>
      </w:r>
      <w:bookmarkEnd w:id="33"/>
      <w:bookmarkEnd w:id="34"/>
      <w:bookmarkEnd w:id="35"/>
    </w:p>
    <w:bookmarkEnd w:id="7"/>
    <w:p w14:paraId="438CE976">
      <w:pPr>
        <w:pStyle w:val="5"/>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jc w:val="both"/>
        <w:textAlignment w:val="auto"/>
        <w:rPr>
          <w:rFonts w:hint="eastAsia" w:ascii="方正仿宋_GBK" w:hAnsi="方正仿宋_GBK" w:eastAsia="方正仿宋_GBK" w:cs="方正仿宋_GBK"/>
          <w:b/>
          <w:bCs/>
        </w:rPr>
      </w:pPr>
      <w:bookmarkStart w:id="36" w:name="_Toc30114"/>
      <w:bookmarkStart w:id="37" w:name="_Toc1151339661"/>
      <w:r>
        <w:rPr>
          <w:rFonts w:hint="eastAsia" w:ascii="方正仿宋_GBK" w:hAnsi="方正仿宋_GBK" w:eastAsia="方正仿宋_GBK" w:cs="方正仿宋_GBK"/>
          <w:b/>
          <w:bCs/>
        </w:rPr>
        <w:t>方向</w:t>
      </w:r>
      <w:r>
        <w:rPr>
          <w:rFonts w:hint="eastAsia" w:ascii="Times New Roman" w:hAnsi="Times New Roman" w:eastAsia="仿宋_GB2312" w:cs="Times New Roman"/>
          <w:b/>
          <w:bCs/>
          <w:kern w:val="2"/>
          <w:sz w:val="32"/>
          <w:szCs w:val="32"/>
          <w:lang w:val="en-US" w:eastAsia="zh-CN" w:bidi="ar-SA"/>
        </w:rPr>
        <w:t>7：</w:t>
      </w:r>
      <w:bookmarkEnd w:id="36"/>
      <w:r>
        <w:rPr>
          <w:rFonts w:hint="eastAsia" w:ascii="方正仿宋_GBK" w:hAnsi="方正仿宋_GBK" w:eastAsia="方正仿宋_GBK" w:cs="方正仿宋_GBK"/>
          <w:b/>
          <w:bCs/>
        </w:rPr>
        <w:t>国际科技创新合作与联合研究</w:t>
      </w:r>
      <w:bookmarkEnd w:id="37"/>
    </w:p>
    <w:p w14:paraId="7FDD0C9B">
      <w:pPr>
        <w:pStyle w:val="2"/>
        <w:keepNext w:val="0"/>
        <w:keepLines w:val="0"/>
        <w:pageBreakBefore w:val="0"/>
        <w:widowControl w:val="0"/>
        <w:kinsoku/>
        <w:wordWrap/>
        <w:overflowPunct/>
        <w:topLinePunct w:val="0"/>
        <w:autoSpaceDE/>
        <w:autoSpaceDN/>
        <w:bidi w:val="0"/>
        <w:adjustRightInd/>
        <w:snapToGrid/>
        <w:spacing w:line="540" w:lineRule="exact"/>
        <w:ind w:left="0" w:firstLine="643" w:firstLineChars="200"/>
        <w:jc w:val="both"/>
        <w:textAlignment w:val="auto"/>
        <w:rPr>
          <w:rFonts w:ascii="仿宋_GB2312" w:hAnsi="仿宋_GB2312" w:eastAsia="仿宋_GB2312" w:cs="仿宋_GB2312"/>
          <w:color w:val="auto"/>
          <w:sz w:val="32"/>
          <w:szCs w:val="32"/>
        </w:rPr>
      </w:pPr>
      <w:r>
        <w:rPr>
          <w:rFonts w:ascii="仿宋_GB2312" w:hAnsi="仿宋_GB2312" w:eastAsia="仿宋_GB2312" w:cs="仿宋_GB2312"/>
          <w:b/>
          <w:bCs/>
          <w:color w:val="auto"/>
          <w:sz w:val="32"/>
          <w:szCs w:val="32"/>
        </w:rPr>
        <w:t>主要内容：</w:t>
      </w:r>
      <w:r>
        <w:rPr>
          <w:rFonts w:ascii="仿宋_GB2312" w:hAnsi="仿宋_GB2312" w:eastAsia="仿宋_GB2312" w:cs="仿宋_GB2312"/>
          <w:color w:val="auto"/>
          <w:sz w:val="32"/>
          <w:szCs w:val="32"/>
        </w:rPr>
        <w:t>支持区内企事业单位与东盟或其他“一带一路”</w:t>
      </w:r>
      <w:r>
        <w:rPr>
          <w:rFonts w:hint="eastAsia" w:ascii="仿宋_GB2312" w:hAnsi="仿宋_GB2312" w:eastAsia="仿宋_GB2312" w:cs="仿宋_GB2312"/>
          <w:color w:val="auto"/>
          <w:sz w:val="32"/>
          <w:szCs w:val="32"/>
          <w:lang w:eastAsia="zh-CN"/>
        </w:rPr>
        <w:t>共建</w:t>
      </w:r>
      <w:r>
        <w:rPr>
          <w:rFonts w:ascii="仿宋_GB2312" w:hAnsi="仿宋_GB2312" w:eastAsia="仿宋_GB2312" w:cs="仿宋_GB2312"/>
          <w:color w:val="auto"/>
          <w:sz w:val="32"/>
          <w:szCs w:val="32"/>
        </w:rPr>
        <w:t>国家科研机构、高校、企业建立合作机制，着重围绕节能环保、生命健康、电子信息</w:t>
      </w:r>
      <w:r>
        <w:rPr>
          <w:rFonts w:hint="eastAsia" w:ascii="仿宋_GB2312" w:hAnsi="仿宋_GB2312" w:eastAsia="仿宋_GB2312" w:cs="仿宋_GB2312"/>
          <w:color w:val="auto"/>
          <w:sz w:val="32"/>
          <w:szCs w:val="32"/>
          <w:lang w:eastAsia="zh-CN"/>
        </w:rPr>
        <w:t>、新能源</w:t>
      </w:r>
      <w:r>
        <w:rPr>
          <w:rFonts w:ascii="仿宋_GB2312" w:hAnsi="仿宋_GB2312" w:eastAsia="仿宋_GB2312" w:cs="仿宋_GB2312"/>
          <w:color w:val="auto"/>
          <w:sz w:val="32"/>
          <w:szCs w:val="32"/>
        </w:rPr>
        <w:t>、新材料及高端装备制造、现代特色农业等产业领域，开展联合科技攻关、共建创新平台、推进科技成果转移转化等，带动广西及合作对象的</w:t>
      </w:r>
      <w:r>
        <w:rPr>
          <w:rFonts w:hint="eastAsia" w:ascii="仿宋_GB2312" w:hAnsi="仿宋_GB2312" w:eastAsia="仿宋_GB2312" w:cs="仿宋_GB2312"/>
          <w:color w:val="auto"/>
          <w:sz w:val="32"/>
          <w:szCs w:val="32"/>
          <w:lang w:eastAsia="zh-CN"/>
        </w:rPr>
        <w:t>关键技术攻关</w:t>
      </w:r>
      <w:r>
        <w:rPr>
          <w:rFonts w:ascii="仿宋_GB2312" w:hAnsi="仿宋_GB2312" w:eastAsia="仿宋_GB2312" w:cs="仿宋_GB2312"/>
          <w:color w:val="auto"/>
          <w:sz w:val="32"/>
          <w:szCs w:val="32"/>
        </w:rPr>
        <w:t>和产业发展。</w:t>
      </w:r>
    </w:p>
    <w:p w14:paraId="0FC03E32">
      <w:pPr>
        <w:pStyle w:val="3"/>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eastAsia="仿宋_GB2312"/>
          <w:b w:val="0"/>
          <w:bCs w:val="0"/>
        </w:rPr>
      </w:pPr>
      <w:r>
        <w:rPr>
          <w:rFonts w:hint="eastAsia" w:ascii="仿宋_GB2312" w:hAnsi="仿宋_GB2312" w:eastAsia="仿宋_GB2312" w:cs="仿宋_GB2312"/>
        </w:rPr>
        <w:t>考核指标：</w:t>
      </w:r>
      <w:r>
        <w:rPr>
          <w:rFonts w:hint="eastAsia" w:ascii="Times New Roman" w:eastAsia="仿宋_GB2312"/>
          <w:b w:val="0"/>
          <w:bCs w:val="0"/>
        </w:rPr>
        <w:t>开发新材料、新工艺、新设备或申请专利等各类知识产权成果4件以上，完成技术转移或成果转化1项以上，培养高级职称和研究生等人才5人以上，取得较好经济效益和社会效益。</w:t>
      </w:r>
    </w:p>
    <w:p w14:paraId="17102A28">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实施年限：</w:t>
      </w:r>
      <w:r>
        <w:rPr>
          <w:rFonts w:hint="eastAsia" w:ascii="Times New Roman" w:hAnsi="Times New Roman" w:eastAsia="仿宋_GB2312"/>
          <w:sz w:val="32"/>
          <w:szCs w:val="32"/>
        </w:rPr>
        <w:t>3</w:t>
      </w:r>
      <w:r>
        <w:rPr>
          <w:rFonts w:ascii="Times New Roman" w:hAnsi="Times New Roman" w:eastAsia="仿宋_GB2312"/>
          <w:sz w:val="32"/>
          <w:szCs w:val="32"/>
        </w:rPr>
        <w:t>年。</w:t>
      </w:r>
    </w:p>
    <w:p w14:paraId="45442CD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资助经费：</w:t>
      </w:r>
      <w:r>
        <w:rPr>
          <w:rFonts w:hint="eastAsia" w:ascii="Times New Roman" w:hAnsi="Times New Roman" w:eastAsia="仿宋_GB2312"/>
          <w:sz w:val="32"/>
          <w:szCs w:val="32"/>
        </w:rPr>
        <w:t>300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5</w:t>
      </w:r>
      <w:r>
        <w:rPr>
          <w:rFonts w:ascii="Times New Roman" w:hAnsi="Times New Roman" w:eastAsia="仿宋_GB2312"/>
          <w:sz w:val="32"/>
          <w:szCs w:val="32"/>
        </w:rPr>
        <w:t>00万元。</w:t>
      </w:r>
    </w:p>
    <w:p w14:paraId="16CDC553">
      <w:pPr>
        <w:pStyle w:val="3"/>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eastAsia="仿宋_GB2312"/>
          <w:b w:val="0"/>
          <w:bCs w:val="0"/>
        </w:rPr>
      </w:pPr>
      <w:r>
        <w:rPr>
          <w:rFonts w:ascii="Times New Roman" w:eastAsia="仿宋_GB2312"/>
        </w:rPr>
        <w:t>资助方式：</w:t>
      </w:r>
      <w:r>
        <w:rPr>
          <w:rFonts w:ascii="Times New Roman" w:eastAsia="仿宋_GB2312"/>
          <w:b w:val="0"/>
          <w:bCs w:val="0"/>
        </w:rPr>
        <w:t>前资助</w:t>
      </w:r>
      <w:r>
        <w:rPr>
          <w:rFonts w:hint="eastAsia" w:ascii="Times New Roman" w:eastAsia="仿宋_GB2312"/>
          <w:b w:val="0"/>
          <w:bCs w:val="0"/>
        </w:rPr>
        <w:t>。企业牵头申报的项目，企业配套经费与财政经费投入比不低于3</w:t>
      </w:r>
      <w:r>
        <w:rPr>
          <w:rFonts w:hint="default" w:ascii="Times New Roman" w:eastAsia="仿宋_GB2312"/>
          <w:b w:val="0"/>
          <w:bCs w:val="0"/>
          <w:lang w:val="en"/>
        </w:rPr>
        <w:t>:</w:t>
      </w:r>
      <w:r>
        <w:rPr>
          <w:rFonts w:hint="eastAsia" w:ascii="Times New Roman" w:eastAsia="仿宋_GB2312"/>
          <w:b w:val="0"/>
          <w:bCs w:val="0"/>
        </w:rPr>
        <w:t>1。非企业牵头申报的项目，企业配套经费与企业获得的财政经费投入比不低于3</w:t>
      </w:r>
      <w:r>
        <w:rPr>
          <w:rFonts w:hint="default" w:ascii="Times New Roman" w:eastAsia="仿宋_GB2312"/>
          <w:b w:val="0"/>
          <w:bCs w:val="0"/>
          <w:lang w:val="en"/>
        </w:rPr>
        <w:t>:</w:t>
      </w:r>
      <w:r>
        <w:rPr>
          <w:rFonts w:hint="eastAsia" w:ascii="Times New Roman" w:eastAsia="仿宋_GB2312"/>
          <w:b w:val="0"/>
          <w:bCs w:val="0"/>
        </w:rPr>
        <w:t>1</w:t>
      </w:r>
      <w:r>
        <w:rPr>
          <w:rFonts w:ascii="Times New Roman" w:eastAsia="仿宋_GB2312"/>
          <w:b w:val="0"/>
          <w:bCs w:val="0"/>
        </w:rPr>
        <w:t>。</w:t>
      </w:r>
    </w:p>
    <w:p w14:paraId="46AEB6BB">
      <w:pPr>
        <w:pStyle w:val="3"/>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eastAsia="仿宋_GB2312"/>
        </w:rPr>
      </w:pPr>
      <w:r>
        <w:rPr>
          <w:rFonts w:hint="eastAsia" w:ascii="Times New Roman" w:hAnsi="Times New Roman" w:eastAsia="仿宋_GB2312" w:cs="Times New Roman"/>
          <w:b/>
          <w:bCs/>
        </w:rPr>
        <w:t>申报要求：</w:t>
      </w:r>
      <w:r>
        <w:rPr>
          <w:rFonts w:hint="eastAsia" w:ascii="Times New Roman" w:eastAsia="仿宋_GB2312"/>
          <w:b w:val="0"/>
          <w:bCs w:val="0"/>
        </w:rPr>
        <w:t>须由注册在广西的企事业单位牵头申报，并联合至少1家东盟或其他“一带一路”</w:t>
      </w:r>
      <w:r>
        <w:rPr>
          <w:rFonts w:hint="eastAsia" w:ascii="Times New Roman" w:eastAsia="仿宋_GB2312"/>
          <w:b w:val="0"/>
          <w:bCs w:val="0"/>
          <w:lang w:eastAsia="zh-CN"/>
        </w:rPr>
        <w:t>共建</w:t>
      </w:r>
      <w:r>
        <w:rPr>
          <w:rFonts w:hint="eastAsia" w:ascii="Times New Roman" w:eastAsia="仿宋_GB2312"/>
          <w:b w:val="0"/>
          <w:bCs w:val="0"/>
        </w:rPr>
        <w:t>国家知名高校、科研机构或行业领军企业共同实施</w:t>
      </w:r>
      <w:r>
        <w:rPr>
          <w:rFonts w:hint="eastAsia" w:ascii="Times New Roman" w:eastAsia="仿宋_GB2312"/>
          <w:b w:val="0"/>
          <w:bCs w:val="0"/>
          <w:lang w:eastAsia="zh-CN"/>
        </w:rPr>
        <w:t>，且与外方单位签署合作协议或意向书</w:t>
      </w:r>
      <w:r>
        <w:rPr>
          <w:rFonts w:hint="eastAsia" w:ascii="Times New Roman" w:eastAsia="仿宋_GB2312"/>
          <w:b w:val="0"/>
          <w:bCs w:val="0"/>
        </w:rPr>
        <w:t>；符合条件的广西区外单位可牵头申报，但须联合至少1家广西单位共同申报，且须联合至少1家东盟或其他“一带一路”</w:t>
      </w:r>
      <w:r>
        <w:rPr>
          <w:rFonts w:hint="eastAsia" w:ascii="Times New Roman" w:eastAsia="仿宋_GB2312"/>
          <w:b w:val="0"/>
          <w:bCs w:val="0"/>
          <w:lang w:eastAsia="zh-CN"/>
        </w:rPr>
        <w:t>共建</w:t>
      </w:r>
      <w:r>
        <w:rPr>
          <w:rFonts w:hint="eastAsia" w:ascii="Times New Roman" w:eastAsia="仿宋_GB2312"/>
          <w:b w:val="0"/>
          <w:bCs w:val="0"/>
        </w:rPr>
        <w:t>国家知名高校、科研机构或行业领军企业共同实施</w:t>
      </w:r>
      <w:r>
        <w:rPr>
          <w:rFonts w:hint="eastAsia" w:ascii="Times New Roman" w:eastAsia="仿宋_GB2312"/>
          <w:b w:val="0"/>
          <w:bCs w:val="0"/>
          <w:lang w:eastAsia="zh-CN"/>
        </w:rPr>
        <w:t>，且与外方单位签署合作协议或意向书</w:t>
      </w:r>
      <w:r>
        <w:rPr>
          <w:rFonts w:hint="eastAsia" w:ascii="Times New Roman" w:eastAsia="仿宋_GB2312"/>
          <w:b w:val="0"/>
          <w:bCs w:val="0"/>
        </w:rPr>
        <w:t>。需要提供查新报告。</w:t>
      </w:r>
    </w:p>
    <w:p w14:paraId="7D0E7E6C">
      <w:pPr>
        <w:keepNext w:val="0"/>
        <w:keepLines w:val="0"/>
        <w:pageBreakBefore w:val="0"/>
        <w:widowControl w:val="0"/>
        <w:kinsoku/>
        <w:wordWrap/>
        <w:overflowPunct/>
        <w:topLinePunct w:val="0"/>
        <w:autoSpaceDE/>
        <w:autoSpaceDN/>
        <w:bidi w:val="0"/>
        <w:adjustRightInd/>
        <w:snapToGrid/>
        <w:spacing w:line="100" w:lineRule="exact"/>
        <w:textAlignment w:val="auto"/>
      </w:pPr>
      <w:bookmarkStart w:id="38" w:name="_GoBack"/>
      <w:bookmarkEnd w:id="38"/>
    </w:p>
    <w:sectPr>
      <w:headerReference r:id="rId3" w:type="default"/>
      <w:footerReference r:id="rId4" w:type="default"/>
      <w:pgSz w:w="11906" w:h="16838"/>
      <w:pgMar w:top="2098" w:right="1531" w:bottom="1701" w:left="1531" w:header="851" w:footer="1417"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ˎ̥">
    <w:altName w:val="宋体"/>
    <w:panose1 w:val="00000000000000000000"/>
    <w:charset w:val="00"/>
    <w:family w:val="roman"/>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仿宋_GBK">
    <w:altName w:val="微软雅黑"/>
    <w:panose1 w:val="03000509000000000000"/>
    <w:charset w:val="86"/>
    <w:family w:val="script"/>
    <w:pitch w:val="default"/>
    <w:sig w:usb0="00000001" w:usb1="080E0000" w:usb2="00000000" w:usb3="00000000" w:csb0="00040000" w:csb1="00000000"/>
  </w:font>
  <w:font w:name="方正小标宋_GBK">
    <w:altName w:val="微软雅黑"/>
    <w:panose1 w:val="02000000000000000000"/>
    <w:charset w:val="86"/>
    <w:family w:val="auto"/>
    <w:pitch w:val="default"/>
    <w:sig w:usb0="00000001" w:usb1="08000000" w:usb2="00000000" w:usb3="00000000" w:csb0="00040000" w:csb1="00000000"/>
  </w:font>
  <w:font w:name="方正黑体_GBK">
    <w:altName w:val="微软雅黑"/>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altName w:val="微软雅黑"/>
    <w:panose1 w:val="02000000000000000000"/>
    <w:charset w:val="86"/>
    <w:family w:val="script"/>
    <w:pitch w:val="default"/>
    <w:sig w:usb0="00000001" w:usb1="08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C55BF">
    <w:pPr>
      <w:pStyle w:val="13"/>
      <w:ind w:right="360" w:firstLine="360"/>
      <w:rPr>
        <w:rFonts w:ascii="宋体" w:hAnsi="宋体"/>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BD25FF">
                          <w:pPr>
                            <w:pStyle w:val="13"/>
                            <w:rPr>
                              <w:rStyle w:val="19"/>
                              <w:rFonts w:hint="eastAsia" w:ascii="宋体" w:hAnsi="宋体"/>
                              <w:sz w:val="28"/>
                              <w:szCs w:val="28"/>
                            </w:rPr>
                          </w:pPr>
                          <w:r>
                            <w:rPr>
                              <w:rStyle w:val="19"/>
                              <w:rFonts w:hint="eastAsia" w:ascii="宋体" w:hAnsi="宋体"/>
                              <w:sz w:val="28"/>
                              <w:szCs w:val="28"/>
                            </w:rPr>
                            <w:t xml:space="preserve">— </w:t>
                          </w:r>
                          <w:r>
                            <w:rPr>
                              <w:rStyle w:val="19"/>
                              <w:rFonts w:hint="default" w:ascii="Times New Roman" w:hAnsi="Times New Roman" w:cs="Times New Roman"/>
                              <w:sz w:val="28"/>
                              <w:szCs w:val="28"/>
                            </w:rPr>
                            <w:fldChar w:fldCharType="begin"/>
                          </w:r>
                          <w:r>
                            <w:rPr>
                              <w:rStyle w:val="19"/>
                              <w:rFonts w:hint="default" w:ascii="Times New Roman" w:hAnsi="Times New Roman" w:cs="Times New Roman"/>
                              <w:sz w:val="28"/>
                              <w:szCs w:val="28"/>
                            </w:rPr>
                            <w:instrText xml:space="preserve"> PAGE  \* MERGEFORMAT </w:instrText>
                          </w:r>
                          <w:r>
                            <w:rPr>
                              <w:rStyle w:val="19"/>
                              <w:rFonts w:hint="default" w:ascii="Times New Roman" w:hAnsi="Times New Roman" w:cs="Times New Roman"/>
                              <w:sz w:val="28"/>
                              <w:szCs w:val="28"/>
                            </w:rPr>
                            <w:fldChar w:fldCharType="separate"/>
                          </w:r>
                          <w:r>
                            <w:rPr>
                              <w:rStyle w:val="19"/>
                              <w:rFonts w:hint="default" w:ascii="Times New Roman" w:hAnsi="Times New Roman" w:cs="Times New Roman"/>
                              <w:sz w:val="28"/>
                              <w:szCs w:val="28"/>
                            </w:rPr>
                            <w:t>35</w:t>
                          </w:r>
                          <w:r>
                            <w:rPr>
                              <w:rStyle w:val="19"/>
                              <w:rFonts w:hint="default" w:ascii="Times New Roman" w:hAnsi="Times New Roman" w:cs="Times New Roman"/>
                              <w:sz w:val="28"/>
                              <w:szCs w:val="28"/>
                            </w:rPr>
                            <w:fldChar w:fldCharType="end"/>
                          </w:r>
                          <w:r>
                            <w:rPr>
                              <w:rStyle w:val="19"/>
                              <w:rFonts w:hint="eastAsia" w:ascii="宋体" w:hAnsi="宋体"/>
                              <w:sz w:val="28"/>
                              <w:szCs w:val="28"/>
                            </w:rPr>
                            <w:t xml:space="preserve"> —</w:t>
                          </w:r>
                        </w:p>
                      </w:txbxContent>
                    </wps:txbx>
                    <wps:bodyPr wrap="none" lIns="0" tIns="0" rIns="0" bIns="0" upright="1">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6vQMoBAACaAwAADgAAAAAAAAABACAAAAAeAQAAZHJzL2Uyb0Rv&#10;Yy54bWxQSwUGAAAAAAYABgBZAQAAWgUAAAAA&#10;">
              <v:fill on="f" focussize="0,0"/>
              <v:stroke on="f"/>
              <v:imagedata o:title=""/>
              <o:lock v:ext="edit" aspectratio="f"/>
              <v:textbox inset="0mm,0mm,0mm,0mm" style="mso-fit-shape-to-text:t;">
                <w:txbxContent>
                  <w:p w14:paraId="59BD25FF">
                    <w:pPr>
                      <w:pStyle w:val="13"/>
                      <w:rPr>
                        <w:rStyle w:val="19"/>
                        <w:rFonts w:hint="eastAsia" w:ascii="宋体" w:hAnsi="宋体"/>
                        <w:sz w:val="28"/>
                        <w:szCs w:val="28"/>
                      </w:rPr>
                    </w:pPr>
                    <w:r>
                      <w:rPr>
                        <w:rStyle w:val="19"/>
                        <w:rFonts w:hint="eastAsia" w:ascii="宋体" w:hAnsi="宋体"/>
                        <w:sz w:val="28"/>
                        <w:szCs w:val="28"/>
                      </w:rPr>
                      <w:t xml:space="preserve">— </w:t>
                    </w:r>
                    <w:r>
                      <w:rPr>
                        <w:rStyle w:val="19"/>
                        <w:rFonts w:hint="default" w:ascii="Times New Roman" w:hAnsi="Times New Roman" w:cs="Times New Roman"/>
                        <w:sz w:val="28"/>
                        <w:szCs w:val="28"/>
                      </w:rPr>
                      <w:fldChar w:fldCharType="begin"/>
                    </w:r>
                    <w:r>
                      <w:rPr>
                        <w:rStyle w:val="19"/>
                        <w:rFonts w:hint="default" w:ascii="Times New Roman" w:hAnsi="Times New Roman" w:cs="Times New Roman"/>
                        <w:sz w:val="28"/>
                        <w:szCs w:val="28"/>
                      </w:rPr>
                      <w:instrText xml:space="preserve"> PAGE  \* MERGEFORMAT </w:instrText>
                    </w:r>
                    <w:r>
                      <w:rPr>
                        <w:rStyle w:val="19"/>
                        <w:rFonts w:hint="default" w:ascii="Times New Roman" w:hAnsi="Times New Roman" w:cs="Times New Roman"/>
                        <w:sz w:val="28"/>
                        <w:szCs w:val="28"/>
                      </w:rPr>
                      <w:fldChar w:fldCharType="separate"/>
                    </w:r>
                    <w:r>
                      <w:rPr>
                        <w:rStyle w:val="19"/>
                        <w:rFonts w:hint="default" w:ascii="Times New Roman" w:hAnsi="Times New Roman" w:cs="Times New Roman"/>
                        <w:sz w:val="28"/>
                        <w:szCs w:val="28"/>
                      </w:rPr>
                      <w:t>35</w:t>
                    </w:r>
                    <w:r>
                      <w:rPr>
                        <w:rStyle w:val="19"/>
                        <w:rFonts w:hint="default" w:ascii="Times New Roman" w:hAnsi="Times New Roman" w:cs="Times New Roman"/>
                        <w:sz w:val="28"/>
                        <w:szCs w:val="28"/>
                      </w:rPr>
                      <w:fldChar w:fldCharType="end"/>
                    </w:r>
                    <w:r>
                      <w:rPr>
                        <w:rStyle w:val="19"/>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A8A8F">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1"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wps:spPr>
                    <wps:txbx>
                      <w:txbxContent>
                        <w:p w14:paraId="0ADA536D">
                          <w:r>
                            <w:t>&lt;root&gt;&lt;sender&gt;bangs@kjt.gxzf.gov.cn&lt;/sender&gt;&lt;type&gt;2&lt;/type&gt;&lt;subject&gt;桂科计字〔2023〕53号自治区科技厅关于发布广西科技“尖锋”专项2024年项目申报指南（第一版）的通知.wps&lt;/subject&gt;&lt;attachmentName&gt;桂科计字〔2023〕53号自治区科技厅关于发布广西科技“尖锋”专项2024年项目申报指南（第一版）的通知.wps&lt;/attachmentName&gt;&lt;addressee&gt;xxgk@kjt.gxzf.gov.cn&lt;/addressee&gt;&lt;mailSec&gt;无密级&lt;/mailSec&gt;&lt;sendTime&gt;2023-09-14 17:07:48&lt;/sendTime&gt;&lt;loadTime&gt;2023-09-14 18:45:53&lt;/loadTime&gt;&lt;/root&gt;</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Oiofm7NAAAA/wAAAA8AAAAAAAAAAQAgAAAAIgAA&#10;AGRycy9kb3ducmV2LnhtbFBLAQIUABQAAAAIAIdO4kBMKsAJoQEAAFUDAAAOAAAAAAAAAAEAIAAA&#10;ABwBAABkcnMvZTJvRG9jLnhtbFBLBQYAAAAABgAGAFkBAAAvBQAAAAA=&#10;">
              <v:fill on="f" focussize="0,0"/>
              <v:stroke on="f"/>
              <v:imagedata o:title=""/>
              <o:lock v:ext="edit" aspectratio="f"/>
              <v:textbox>
                <w:txbxContent>
                  <w:p w14:paraId="0ADA536D">
                    <w:r>
                      <w:t>&lt;root&gt;&lt;sender&gt;bangs@kjt.gxzf.gov.cn&lt;/sender&gt;&lt;type&gt;2&lt;/type&gt;&lt;subject&gt;桂科计字〔2023〕53号自治区科技厅关于发布广西科技“尖锋”专项2024年项目申报指南（第一版）的通知.wps&lt;/subject&gt;&lt;attachmentName&gt;桂科计字〔2023〕53号自治区科技厅关于发布广西科技“尖锋”专项2024年项目申报指南（第一版）的通知.wps&lt;/attachmentName&gt;&lt;addressee&gt;xxgk@kjt.gxzf.gov.cn&lt;/addressee&gt;&lt;mailSec&gt;无密级&lt;/mailSec&gt;&lt;sendTime&gt;2023-09-14 17:07:48&lt;/sendTime&gt;&lt;loadTime&gt;2023-09-14 18:45:53&lt;/loadTime&gt;&lt;/root&gt;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5ZDFkYjAwZjNhYTM1NDBlZTczZjFiNGMyNzYxN2IifQ=="/>
  </w:docVars>
  <w:rsids>
    <w:rsidRoot w:val="77FCF2F2"/>
    <w:rsid w:val="2BBD8992"/>
    <w:rsid w:val="3BA60F87"/>
    <w:rsid w:val="3EBD4753"/>
    <w:rsid w:val="4EF363D4"/>
    <w:rsid w:val="5E2DC9C9"/>
    <w:rsid w:val="6BD71339"/>
    <w:rsid w:val="6C7172D7"/>
    <w:rsid w:val="6F6BA5DD"/>
    <w:rsid w:val="72FEF6EC"/>
    <w:rsid w:val="73D9D30E"/>
    <w:rsid w:val="777EE488"/>
    <w:rsid w:val="77FBF410"/>
    <w:rsid w:val="77FCD373"/>
    <w:rsid w:val="77FCF2F2"/>
    <w:rsid w:val="7EA57DC5"/>
    <w:rsid w:val="7EDDAFE0"/>
    <w:rsid w:val="7F4FF084"/>
    <w:rsid w:val="7FAE3425"/>
    <w:rsid w:val="7FF322FF"/>
    <w:rsid w:val="87FB4717"/>
    <w:rsid w:val="AFFF95DA"/>
    <w:rsid w:val="BBBDD57F"/>
    <w:rsid w:val="DEFE6987"/>
    <w:rsid w:val="DFD3CDB0"/>
    <w:rsid w:val="DFDB9834"/>
    <w:rsid w:val="DFEF1EF6"/>
    <w:rsid w:val="E37BCA4E"/>
    <w:rsid w:val="E5FF6619"/>
    <w:rsid w:val="E96F6903"/>
    <w:rsid w:val="EDDD3822"/>
    <w:rsid w:val="F1FBB685"/>
    <w:rsid w:val="F9FCE0D1"/>
    <w:rsid w:val="FB7FF6CE"/>
    <w:rsid w:val="FBFB0C67"/>
    <w:rsid w:val="FF4F53DA"/>
    <w:rsid w:val="FF7F46A5"/>
    <w:rsid w:val="FFBF4411"/>
    <w:rsid w:val="FFDAAAEC"/>
    <w:rsid w:val="FFF53AFB"/>
    <w:rsid w:val="FFF7F1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qFormat="1"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Autospacing="0" w:afterAutospacing="0" w:line="560" w:lineRule="exact"/>
      <w:ind w:firstLine="632" w:firstLineChars="200"/>
      <w:jc w:val="left"/>
      <w:outlineLvl w:val="0"/>
    </w:pPr>
    <w:rPr>
      <w:rFonts w:hint="eastAsia" w:ascii="宋体" w:hAnsi="宋体" w:eastAsia="黑体" w:cs="宋体"/>
      <w:kern w:val="44"/>
      <w:sz w:val="32"/>
      <w:szCs w:val="48"/>
      <w:lang w:bidi="ar"/>
    </w:rPr>
  </w:style>
  <w:style w:type="paragraph" w:styleId="5">
    <w:name w:val="heading 2"/>
    <w:basedOn w:val="1"/>
    <w:next w:val="1"/>
    <w:qFormat/>
    <w:uiPriority w:val="0"/>
    <w:pPr>
      <w:keepNext/>
      <w:keepLines/>
      <w:spacing w:beforeLines="0" w:beforeAutospacing="0" w:afterLines="0" w:afterAutospacing="0" w:line="560" w:lineRule="exact"/>
      <w:ind w:firstLine="632" w:firstLineChars="200"/>
      <w:outlineLvl w:val="1"/>
    </w:pPr>
    <w:rPr>
      <w:rFonts w:ascii="Arial" w:hAnsi="Arial" w:eastAsia="楷体"/>
      <w:sz w:val="32"/>
    </w:rPr>
  </w:style>
  <w:style w:type="paragraph" w:styleId="6">
    <w:name w:val="heading 3"/>
    <w:basedOn w:val="1"/>
    <w:next w:val="7"/>
    <w:unhideWhenUsed/>
    <w:qFormat/>
    <w:uiPriority w:val="0"/>
    <w:pPr>
      <w:keepNext/>
      <w:keepLines/>
      <w:spacing w:before="260" w:after="260" w:line="416" w:lineRule="auto"/>
      <w:outlineLvl w:val="2"/>
    </w:pPr>
    <w:rPr>
      <w:rFonts w:ascii="Calibri" w:hAnsi="Calibri" w:eastAsia="宋体"/>
      <w:b/>
      <w:bCs/>
      <w:sz w:val="32"/>
      <w:szCs w:val="32"/>
    </w:rPr>
  </w:style>
  <w:style w:type="character" w:default="1" w:styleId="18">
    <w:name w:val="Default Paragraph Font"/>
    <w:semiHidden/>
    <w:qFormat/>
    <w:uiPriority w:val="0"/>
  </w:style>
  <w:style w:type="table" w:default="1" w:styleId="16">
    <w:name w:val="Normal Table"/>
    <w:semiHidden/>
    <w:qFormat/>
    <w:uiPriority w:val="0"/>
    <w:tblPr>
      <w:tblStyle w:val="16"/>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7">
    <w:name w:val="index heading"/>
    <w:basedOn w:val="1"/>
    <w:next w:val="8"/>
    <w:unhideWhenUsed/>
    <w:qFormat/>
    <w:uiPriority w:val="0"/>
    <w:rPr>
      <w:rFonts w:ascii="Arial" w:hAnsi="Arial"/>
      <w:b/>
    </w:rPr>
  </w:style>
  <w:style w:type="paragraph" w:styleId="8">
    <w:name w:val="index 1"/>
    <w:basedOn w:val="1"/>
    <w:next w:val="1"/>
    <w:unhideWhenUsed/>
    <w:qFormat/>
    <w:uiPriority w:val="0"/>
  </w:style>
  <w:style w:type="paragraph" w:styleId="9">
    <w:name w:val="annotation text"/>
    <w:basedOn w:val="1"/>
    <w:qFormat/>
    <w:uiPriority w:val="0"/>
    <w:pPr>
      <w:widowControl w:val="0"/>
    </w:pPr>
    <w:rPr>
      <w:kern w:val="2"/>
      <w:sz w:val="21"/>
      <w:szCs w:val="22"/>
      <w:lang w:val="en-US" w:eastAsia="zh-CN" w:bidi="ar-SA"/>
    </w:rPr>
  </w:style>
  <w:style w:type="paragraph" w:styleId="10">
    <w:name w:val="Body Text"/>
    <w:basedOn w:val="1"/>
    <w:next w:val="11"/>
    <w:qFormat/>
    <w:uiPriority w:val="0"/>
    <w:pPr>
      <w:spacing w:line="560" w:lineRule="exact"/>
      <w:ind w:firstLine="632" w:firstLineChars="200"/>
    </w:pPr>
    <w:rPr>
      <w:rFonts w:eastAsia="仿宋_GB2312"/>
      <w:b/>
      <w:sz w:val="32"/>
    </w:rPr>
  </w:style>
  <w:style w:type="paragraph" w:styleId="11">
    <w:name w:val="Title"/>
    <w:basedOn w:val="1"/>
    <w:next w:val="1"/>
    <w:qFormat/>
    <w:uiPriority w:val="0"/>
    <w:pPr>
      <w:spacing w:before="240" w:after="60"/>
      <w:jc w:val="center"/>
      <w:outlineLvl w:val="0"/>
    </w:pPr>
    <w:rPr>
      <w:rFonts w:ascii="Calibri Light" w:hAnsi="Calibri Light" w:eastAsia="宋体" w:cs="黑体"/>
      <w:b/>
      <w:bCs/>
      <w:szCs w:val="32"/>
    </w:rPr>
  </w:style>
  <w:style w:type="paragraph" w:styleId="12">
    <w:name w:val="toc 3"/>
    <w:basedOn w:val="1"/>
    <w:next w:val="1"/>
    <w:unhideWhenUsed/>
    <w:qFormat/>
    <w:uiPriority w:val="39"/>
    <w:pPr>
      <w:widowControl/>
      <w:spacing w:after="100" w:line="259" w:lineRule="auto"/>
      <w:ind w:left="440"/>
      <w:jc w:val="left"/>
    </w:pPr>
    <w:rPr>
      <w:rFonts w:ascii="Calibri" w:hAnsi="Calibri" w:eastAsia="宋体"/>
      <w:kern w:val="0"/>
      <w:sz w:val="22"/>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2"/>
    <w:basedOn w:val="1"/>
    <w:next w:val="1"/>
    <w:unhideWhenUsed/>
    <w:qFormat/>
    <w:uiPriority w:val="0"/>
    <w:pPr>
      <w:ind w:left="0" w:leftChars="0"/>
    </w:pPr>
    <w:rPr>
      <w:rFonts w:ascii="Times New Roman" w:hAnsi="Times New Roman" w:eastAsia="楷体"/>
      <w:sz w:val="30"/>
    </w:rPr>
  </w:style>
  <w:style w:type="table" w:styleId="17">
    <w:name w:val="Table Grid"/>
    <w:basedOn w:val="16"/>
    <w:qFormat/>
    <w:uiPriority w:val="59"/>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qFormat/>
    <w:uiPriority w:val="0"/>
  </w:style>
  <w:style w:type="paragraph" w:customStyle="1" w:styleId="20">
    <w:name w:val="列出段落1"/>
    <w:qFormat/>
    <w:uiPriority w:val="0"/>
    <w:pPr>
      <w:widowControl w:val="0"/>
      <w:ind w:firstLine="420" w:firstLineChars="200"/>
      <w:jc w:val="both"/>
    </w:pPr>
    <w:rPr>
      <w:rFonts w:ascii="Calibri" w:hAnsi="Calibri" w:eastAsia="宋体" w:cs="Times New Roman"/>
      <w:kern w:val="2"/>
      <w:sz w:val="21"/>
      <w:szCs w:val="22"/>
      <w:lang w:val="en-US" w:eastAsia="zh-CN" w:bidi="ar-SA"/>
    </w:rPr>
  </w:style>
  <w:style w:type="character" w:customStyle="1" w:styleId="21">
    <w:name w:val="karen11"/>
    <w:qFormat/>
    <w:uiPriority w:val="0"/>
    <w:rPr>
      <w:rFonts w:ascii="ˎ̥" w:hAnsi="ˎ̥" w:eastAsia="仿宋_GB2312" w:cs="Times New Roman"/>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21125</Words>
  <Characters>21779</Characters>
  <Lines>0</Lines>
  <Paragraphs>0</Paragraphs>
  <TotalTime>11</TotalTime>
  <ScaleCrop>false</ScaleCrop>
  <LinksUpToDate>false</LinksUpToDate>
  <CharactersWithSpaces>22738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2024-07-30T01:17:00Z</dcterms:created>
  <dc:creator>gxxc</dc:creator>
  <cp:lastModifiedBy>墨迹夏子</cp:lastModifiedBy>
  <cp:lastPrinted>2024-08-06T07:55:22Z</cp:lastPrinted>
  <dcterms:modified xsi:type="dcterms:W3CDTF">2024-08-05T09:25:04Z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5031914FC512424C8CDF929705D31A4A_13</vt:lpwstr>
  </property>
</Properties>
</file>