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62F95">
      <w:pPr>
        <w:spacing w:line="560" w:lineRule="exact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2F849981">
      <w:pPr>
        <w:spacing w:line="560" w:lineRule="exact"/>
        <w:jc w:val="center"/>
        <w:rPr>
          <w:rFonts w:hint="eastAsia" w:ascii="宋体" w:hAnsi="宋体" w:eastAsia="宋体" w:cs="Times New Roman"/>
          <w:b/>
          <w:sz w:val="28"/>
          <w:szCs w:val="28"/>
        </w:rPr>
      </w:pPr>
    </w:p>
    <w:p w14:paraId="09DEC559">
      <w:pPr>
        <w:spacing w:line="660" w:lineRule="exact"/>
        <w:jc w:val="center"/>
        <w:rPr>
          <w:rFonts w:hint="eastAsia" w:ascii="方正小标宋简体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 w:cs="Times New Roman"/>
          <w:sz w:val="44"/>
          <w:szCs w:val="44"/>
        </w:rPr>
        <w:t>年度广西高等教育本科教学改革工程</w:t>
      </w:r>
    </w:p>
    <w:p w14:paraId="7A639AAE">
      <w:pPr>
        <w:spacing w:line="660" w:lineRule="exact"/>
        <w:jc w:val="center"/>
        <w:rPr>
          <w:rFonts w:hint="eastAsia" w:ascii="方正小标宋简体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项目申报</w:t>
      </w:r>
      <w:r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  <w:t>范围</w:t>
      </w:r>
    </w:p>
    <w:p w14:paraId="3C48FB01">
      <w:pPr>
        <w:spacing w:line="560" w:lineRule="exact"/>
        <w:rPr>
          <w:rFonts w:ascii="黑体" w:hAnsi="黑体" w:eastAsia="黑体"/>
          <w:szCs w:val="32"/>
        </w:rPr>
      </w:pPr>
    </w:p>
    <w:p w14:paraId="43EC8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专业设置与建设</w:t>
      </w:r>
    </w:p>
    <w:p w14:paraId="44F71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主要包括一流专业建设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，新工科、新医科、新农科、新文科</w:t>
      </w:r>
      <w:r>
        <w:rPr>
          <w:rFonts w:ascii="仿宋" w:hAnsi="仿宋" w:eastAsia="仿宋" w:cs="Times New Roman"/>
          <w:kern w:val="0"/>
          <w:sz w:val="32"/>
          <w:szCs w:val="32"/>
        </w:rPr>
        <w:t>建设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，</w:t>
      </w:r>
      <w:r>
        <w:rPr>
          <w:rFonts w:hint="eastAsia" w:ascii="仿宋" w:hAnsi="仿宋" w:eastAsia="仿宋" w:cs="Times New Roman"/>
          <w:kern w:val="0"/>
          <w:sz w:val="32"/>
          <w:szCs w:val="32"/>
          <w:lang w:val="en-US" w:eastAsia="zh-CN"/>
        </w:rPr>
        <w:t>基础学科相关专业建设，分类推进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应用型</w:t>
      </w:r>
      <w:r>
        <w:rPr>
          <w:rFonts w:ascii="仿宋" w:hAnsi="仿宋" w:eastAsia="仿宋" w:cs="Times New Roman"/>
          <w:kern w:val="0"/>
          <w:sz w:val="32"/>
          <w:szCs w:val="32"/>
        </w:rPr>
        <w:t>专业建设，专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业结构调整优化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，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本科专业类教学质量国家标准的应用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，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专业思政建设等。</w:t>
      </w:r>
    </w:p>
    <w:p w14:paraId="7F693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人才培养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和教学改革</w:t>
      </w:r>
    </w:p>
    <w:p w14:paraId="60360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包括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现代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产业学院建设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特色化示范性软件学院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建设、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高水平公共卫生学院建设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未来技术学院、人工智能学院、网络安全学院、密码学院、智慧农业学院、涉外法治学院等专业学院建设，基础学科拔尖学生培养基地、涉外法治人才协同培养创新基地、复合型东盟语种人才培养示范基地建设，实验教学中心建设，</w:t>
      </w:r>
      <w:r>
        <w:rPr>
          <w:rFonts w:hint="eastAsia" w:ascii="仿宋" w:hAnsi="仿宋" w:eastAsia="仿宋" w:cs="Times New Roman"/>
          <w:sz w:val="32"/>
          <w:szCs w:val="32"/>
        </w:rPr>
        <w:t>“六卓越一拔尖”计划</w:t>
      </w:r>
      <w:r>
        <w:rPr>
          <w:rFonts w:ascii="Times New Roman" w:hAnsi="Times New Roman" w:eastAsia="仿宋" w:cs="Times New Roman"/>
          <w:sz w:val="32"/>
          <w:szCs w:val="32"/>
        </w:rPr>
        <w:t>2</w:t>
      </w:r>
      <w:r>
        <w:rPr>
          <w:rFonts w:ascii="仿宋" w:hAnsi="仿宋" w:eastAsia="仿宋" w:cs="Times New Roman"/>
          <w:sz w:val="32"/>
          <w:szCs w:val="32"/>
        </w:rPr>
        <w:t>.</w:t>
      </w:r>
      <w:r>
        <w:rPr>
          <w:rFonts w:ascii="Times New Roman" w:hAnsi="Times New Roman" w:eastAsia="仿宋" w:cs="Times New Roman"/>
          <w:sz w:val="32"/>
          <w:szCs w:val="32"/>
        </w:rPr>
        <w:t>0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应用型人才培养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碳达峰碳中和人才培养、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产教融合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科研育人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、国际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合作育人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大类人才培养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、跨学科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复合型人才培养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、跨校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联合培养、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劳动教育改革、公共艺术教育改革、教学方法和考核方式的改革、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学分制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改革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等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。</w:t>
      </w:r>
    </w:p>
    <w:p w14:paraId="1F36E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课程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和教学资源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建设</w:t>
      </w:r>
    </w:p>
    <w:p w14:paraId="425B2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包括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全面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推进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课程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思政建设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，培育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一批课程思政示范课程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；《习近平谈治国理政》多语种版本“三进”教学工作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人工智能通识课建设；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MOOC、SPOC、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线上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线下混合式、线下、虚拟仿真实验教学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社会实践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等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各类课程的建设，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体现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先进性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互动性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创新性的教学方法的改革，</w:t>
      </w:r>
      <w:r>
        <w:rPr>
          <w:rFonts w:ascii="仿宋" w:hAnsi="仿宋" w:eastAsia="仿宋" w:cs="Times New Roman"/>
          <w:sz w:val="32"/>
          <w:szCs w:val="32"/>
        </w:rPr>
        <w:t>一流课程</w:t>
      </w:r>
      <w:r>
        <w:rPr>
          <w:rFonts w:hint="eastAsia" w:ascii="仿宋" w:hAnsi="仿宋" w:eastAsia="仿宋" w:cs="Times New Roman"/>
          <w:sz w:val="32"/>
          <w:szCs w:val="32"/>
        </w:rPr>
        <w:t>资源的共享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参与慕课西部行计划（含实验教学西部行计划）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“四新”关键领域核心课程建设；教育知识图谱的应用；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碳达峰碳中和领域教学资源</w:t>
      </w: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建设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“十四五”规划教材和战略性新兴领域教材建设；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信息化教学资源的建设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应用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与共享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数字化赋能课程教学改革，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智慧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教室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智慧实验室的建设与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应用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，推动信息技术与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教育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教学融合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。</w:t>
      </w:r>
    </w:p>
    <w:p w14:paraId="6AC86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教学质量保障体系建设</w:t>
      </w:r>
    </w:p>
    <w:p w14:paraId="28279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包括教学状态监测数据的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运用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、本科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教育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教学工作评估、专业认证、专业评估、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教学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评价、课程评价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、学生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学业评价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利用人工智能技术赋能教学质量管理等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。</w:t>
      </w:r>
    </w:p>
    <w:p w14:paraId="4A9B3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教师教学能力提升</w:t>
      </w:r>
    </w:p>
    <w:p w14:paraId="036A9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包括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基层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教学组织建设，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虚拟教研室的探索，教学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团队建设，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教师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教学发展中心建设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，健全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助教岗位制度，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教学管理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队伍建设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提升教师人工智能素养等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。</w:t>
      </w:r>
    </w:p>
    <w:p w14:paraId="5C6B6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六、大学生创新创业教育</w:t>
      </w:r>
    </w:p>
    <w:p w14:paraId="48B95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包括创新创业课程建设、专业教育与创新创业教育的融合、思想政治教育与创新创业教育的融合、创新创业实践平台建设、教师创新创业教育能力提升、创新创业教育管理改革、利用人工智能辅助学生创新创业训练等。</w:t>
      </w:r>
    </w:p>
    <w:p w14:paraId="7873059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124BC6A-1A1A-40FE-8F9F-EF334A18CAD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FF13F895-139A-48CC-A211-DBF66E0619A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E19111F-A056-4F47-BBE9-8B46C976DB4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F47C0FD-FA67-4FFC-8275-EA771369E3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63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2025-03-17T02:58:10Z</dcterms:created>
  <dc:creator>Administrator</dc:creator>
  <cp:lastModifiedBy>后海不是海</cp:lastModifiedBy>
  <dcterms:modified xsi:type="dcterms:W3CDTF">2025-03-17T02:58:15Z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eyJoZGlkIjoiZGUzNzQ1YzE4YTI2MTc1OGZmZjNhN2IxYzdjZDg4ODYiLCJ1c2VySWQiOiIyNjIyMzQyOTIifQ==</vt:lpwstr>
  </property>
  <property fmtid="{D5CDD505-2E9C-101B-9397-08002B2CF9AE}" pid="4" name="ICV">
    <vt:lpwstr>9CA796DDD3B24335ADC0C99F67FB5B5F_12</vt:lpwstr>
  </property>
</Properties>
</file>