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科研育人</w:t>
      </w:r>
      <w:bookmarkStart w:id="0" w:name="_GoBack"/>
      <w:bookmarkEnd w:id="0"/>
      <w:r>
        <w:rPr>
          <w:rFonts w:hint="eastAsia"/>
          <w:b/>
          <w:bCs/>
          <w:sz w:val="52"/>
          <w:szCs w:val="72"/>
          <w:lang w:eastAsia="zh-CN"/>
        </w:rPr>
        <w:t>研究报告</w:t>
      </w: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指导老师：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</w:t>
      </w:r>
    </w:p>
    <w:p>
      <w:pPr>
        <w:jc w:val="both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指导学生：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36"/>
          <w:szCs w:val="44"/>
          <w:u w:val="non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项目名称：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</w:t>
      </w:r>
    </w:p>
    <w:p>
      <w:pPr>
        <w:jc w:val="both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所属学院：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项目编号：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</w:t>
      </w: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起止时间：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</w:t>
      </w: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填表日期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日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40"/>
          <w:szCs w:val="48"/>
          <w:u w:val="none"/>
          <w:lang w:val="en-US" w:eastAsia="zh-CN"/>
        </w:rPr>
      </w:pPr>
      <w:r>
        <w:rPr>
          <w:rFonts w:hint="eastAsia"/>
          <w:b/>
          <w:bCs/>
          <w:sz w:val="40"/>
          <w:szCs w:val="48"/>
          <w:u w:val="none"/>
          <w:lang w:val="en-US" w:eastAsia="zh-CN"/>
        </w:rPr>
        <w:t>报告正文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733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教师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在指导学生开展科学研究工作的过程中，结合自身专业背景和学科特点，总结培养学生科学素养、科研能力，以及世界观等方面的经验，提出科研育人模式等方面的内容，字数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1000字以上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eastAsia="仿宋"/>
                <w:b/>
                <w:bCs/>
                <w:sz w:val="32"/>
                <w:szCs w:val="4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eastAsia="仿宋"/>
          <w:b/>
          <w:bCs/>
          <w:sz w:val="32"/>
          <w:szCs w:val="40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C66CE"/>
    <w:rsid w:val="11E33927"/>
    <w:rsid w:val="3A9A32B8"/>
    <w:rsid w:val="52595EF0"/>
    <w:rsid w:val="5706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2021-04-02T03:03:32Z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