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footer3.xml" ContentType="application/vnd.openxmlformats-officedocument.wordprocessingml.footer+xml"/>
  <Override PartName="/word/document.xml" ContentType="application/vnd.openxmlformats-officedocument.wordprocessingml.document.main+xml"/>
  <Override PartName="/word/footer2.xml" ContentType="application/vnd.openxmlformats-officedocument.wordprocessingml.foot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700"/>
        <w:jc w:val="center"/>
        <w:rPr>
          <w:rFonts w:ascii="Times New Roman" w:cs="Times New Roman" w:eastAsia="方正小标宋简体" w:hAnsi="Times New Roman" w:hint="eastAsia"/>
          <w:color w:val="ff0000"/>
          <w:w w:val="96"/>
          <w:sz w:val="64"/>
          <w:szCs w:val="64"/>
          <w:lang w:val="en-US" w:eastAsia="zh-CN"/>
        </w:rPr>
      </w:pPr>
    </w:p>
    <w:p>
      <w:pPr>
        <w:pStyle w:val="style0"/>
        <w:spacing w:lineRule="exact" w:line="440"/>
        <w:jc w:val="center"/>
        <w:rPr>
          <w:rFonts w:ascii="Times New Roman" w:cs="Times New Roman" w:eastAsia="方正小标宋简体" w:hAnsi="Times New Roman" w:hint="default"/>
          <w:color w:val="ff0000"/>
          <w:w w:val="96"/>
          <w:sz w:val="64"/>
          <w:szCs w:val="64"/>
        </w:rPr>
      </w:pPr>
    </w:p>
    <w:tbl>
      <w:tblPr>
        <w:tblStyle w:val="style105"/>
        <w:tblpPr w:leftFromText="180" w:rightFromText="180" w:vertAnchor="page" w:horzAnchor="page" w:tblpX="1902" w:tblpY="3510"/>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036"/>
        <w:gridCol w:w="1398"/>
      </w:tblGrid>
      <w:tr>
        <w:trPr>
          <w:trHeight w:val="283" w:hRule="atLeast"/>
        </w:trPr>
        <w:tc>
          <w:tcPr>
            <w:tcW w:w="0" w:type="nil"/>
            <w:tcBorders>
              <w:top w:val="nil"/>
              <w:left w:val="nil"/>
              <w:bottom w:val="nil"/>
              <w:right w:val="nil"/>
            </w:tcBorders>
            <w:tcMar>
              <w:top w:w="17" w:type="dxa"/>
              <w:left w:w="17" w:type="dxa"/>
              <w:right w:w="57" w:type="dxa"/>
            </w:tcMar>
            <w:vAlign w:val="center"/>
          </w:tcPr>
          <w:p>
            <w:pPr>
              <w:pStyle w:val="style0"/>
              <w:framePr w:hAnchor="margin" w:vAnchor="text" w:x="1902" w:y="3510"/>
              <w:spacing w:lineRule="exact" w:line="700"/>
              <w:ind w:right="42" w:rightChars="0" w:firstLine="0" w:firstLineChars="0"/>
              <w:jc w:val="distribute"/>
              <w:rPr>
                <w:rFonts w:ascii="方正小标宋简体" w:cs="Times New Roman" w:eastAsia="方正小标宋简体" w:hAnsi="Times New Roman" w:hint="eastAsia"/>
                <w:color w:val="ff0000"/>
                <w:spacing w:val="-57"/>
                <w:w w:val="92"/>
                <w:sz w:val="52"/>
                <w:szCs w:val="52"/>
              </w:rPr>
            </w:pPr>
            <w:r>
              <w:rPr>
                <w:rFonts w:ascii="方正小标宋简体" w:cs="Times New Roman" w:eastAsia="方正小标宋简体" w:hAnsi="Times New Roman" w:hint="eastAsia"/>
                <w:color w:val="ff0000"/>
                <w:spacing w:val="-57"/>
                <w:w w:val="92"/>
                <w:sz w:val="52"/>
                <w:szCs w:val="52"/>
                <w:lang w:val="en-US" w:eastAsia="zh-CN"/>
              </w:rPr>
              <w:t>广西壮族自治区市场监督管理局</w:t>
            </w:r>
          </w:p>
        </w:tc>
        <w:tc>
          <w:tcPr>
            <w:tcW w:w="0" w:type="nil"/>
            <w:vMerge w:val="restart"/>
            <w:tcBorders>
              <w:top w:val="nil"/>
              <w:left w:val="nil"/>
              <w:bottom w:val="none" w:sz="0" w:space="0" w:color="auto"/>
              <w:right w:val="nil"/>
            </w:tcBorders>
            <w:tcMar>
              <w:top w:w="17" w:type="dxa"/>
              <w:left w:w="17" w:type="dxa"/>
              <w:right w:w="57" w:type="dxa"/>
            </w:tcMar>
            <w:vAlign w:val="center"/>
          </w:tcPr>
          <w:p>
            <w:pPr>
              <w:pStyle w:val="style0"/>
              <w:keepNext w:val="false"/>
              <w:keepLines w:val="false"/>
              <w:framePr w:hAnchor="margin" w:vAnchor="text" w:x="1902" w:y="3510"/>
              <w:widowControl/>
              <w:suppressLineNumbers w:val="false"/>
              <w:spacing w:lineRule="auto" w:line="240"/>
              <w:ind w:left="0" w:leftChars="0" w:firstLine="0" w:firstLineChars="0"/>
              <w:jc w:val="center"/>
              <w:textAlignment w:val="center"/>
              <w:rPr>
                <w:rFonts w:ascii="宋体" w:cs="宋体" w:eastAsia="宋体" w:hAnsi="宋体" w:hint="eastAsia"/>
                <w:i w:val="false"/>
                <w:color w:val="000000"/>
                <w:kern w:val="0"/>
                <w:sz w:val="24"/>
                <w:szCs w:val="24"/>
                <w:u w:val="none"/>
                <w:lang w:val="en-US" w:eastAsia="zh-CN"/>
              </w:rPr>
            </w:pPr>
            <w:r>
              <w:rPr>
                <w:rFonts w:ascii="方正小标宋简体" w:cs="Times New Roman" w:eastAsia="方正小标宋简体" w:hAnsi="Times New Roman" w:hint="eastAsia"/>
                <w:color w:val="ff0000"/>
                <w:spacing w:val="0"/>
                <w:w w:val="92"/>
                <w:sz w:val="56"/>
                <w:szCs w:val="56"/>
                <w:lang w:val="en-US" w:eastAsia="zh-CN"/>
              </w:rPr>
              <w:t>文件</w:t>
            </w:r>
          </w:p>
        </w:tc>
      </w:tr>
      <w:tr>
        <w:tblPrEx/>
        <w:trPr>
          <w:trHeight w:val="283" w:hRule="atLeast"/>
        </w:trPr>
        <w:tc>
          <w:tcPr>
            <w:tcW w:w="0" w:type="nil"/>
            <w:tcBorders>
              <w:top w:val="nil"/>
              <w:left w:val="nil"/>
              <w:bottom w:val="nil"/>
              <w:right w:val="nil"/>
            </w:tcBorders>
            <w:tcMar>
              <w:top w:w="17" w:type="dxa"/>
              <w:left w:w="17" w:type="dxa"/>
              <w:right w:w="57" w:type="dxa"/>
            </w:tcMar>
            <w:vAlign w:val="center"/>
          </w:tcPr>
          <w:p>
            <w:pPr>
              <w:pStyle w:val="style0"/>
              <w:framePr w:hAnchor="margin" w:vAnchor="text" w:x="1902" w:y="3510"/>
              <w:spacing w:lineRule="exact" w:line="700"/>
              <w:ind w:right="42" w:rightChars="0" w:firstLine="0" w:firstLineChars="0"/>
              <w:jc w:val="distribute"/>
              <w:rPr>
                <w:rFonts w:ascii="方正小标宋简体" w:cs="Times New Roman" w:eastAsia="方正小标宋简体" w:hAnsi="Times New Roman" w:hint="eastAsia"/>
                <w:color w:val="ff0000"/>
                <w:spacing w:val="-57"/>
                <w:w w:val="92"/>
                <w:sz w:val="52"/>
                <w:szCs w:val="52"/>
                <w:lang w:val="en-US" w:eastAsia="zh-CN"/>
              </w:rPr>
            </w:pPr>
            <w:r>
              <w:rPr>
                <w:rFonts w:ascii="方正小标宋简体" w:cs="Times New Roman" w:eastAsia="方正小标宋简体" w:hAnsi="Times New Roman" w:hint="eastAsia"/>
                <w:color w:val="ff0000"/>
                <w:spacing w:val="-57"/>
                <w:w w:val="92"/>
                <w:sz w:val="52"/>
                <w:szCs w:val="52"/>
                <w:lang w:val="en-US" w:eastAsia="zh-CN"/>
              </w:rPr>
              <w:t>广西壮族自治区财政厅</w:t>
            </w:r>
          </w:p>
        </w:tc>
        <w:tc>
          <w:tcPr>
            <w:tcW w:w="0" w:type="nil"/>
            <w:vMerge w:val="continue"/>
            <w:tcBorders>
              <w:top w:val="none" w:sz="0" w:space="0" w:color="auto"/>
              <w:left w:val="nil"/>
              <w:bottom w:val="nil"/>
              <w:right w:val="nil"/>
            </w:tcBorders>
            <w:tcMar>
              <w:top w:w="17" w:type="dxa"/>
              <w:left w:w="17" w:type="dxa"/>
              <w:right w:w="57" w:type="dxa"/>
            </w:tcMar>
            <w:vAlign w:val="center"/>
          </w:tcPr>
          <w:p>
            <w:pPr>
              <w:pStyle w:val="style0"/>
              <w:keepNext w:val="false"/>
              <w:keepLines w:val="false"/>
              <w:framePr w:hAnchor="margin" w:vAnchor="text" w:x="1902" w:y="3510"/>
              <w:widowControl/>
              <w:suppressLineNumbers w:val="false"/>
              <w:spacing w:lineRule="exact" w:line="560"/>
              <w:ind w:left="0" w:leftChars="0" w:firstLine="0" w:firstLineChars="0"/>
              <w:jc w:val="distribute"/>
              <w:textAlignment w:val="center"/>
              <w:rPr>
                <w:rFonts w:ascii="宋体" w:cs="宋体" w:eastAsia="宋体" w:hAnsi="宋体" w:hint="eastAsia"/>
                <w:i w:val="false"/>
                <w:color w:val="000000"/>
                <w:kern w:val="0"/>
                <w:sz w:val="24"/>
                <w:szCs w:val="24"/>
                <w:u w:val="none"/>
                <w:lang w:val="en-US" w:eastAsia="zh-CN"/>
              </w:rPr>
            </w:pPr>
          </w:p>
        </w:tc>
      </w:tr>
    </w:tbl>
    <w:p>
      <w:pPr>
        <w:pStyle w:val="style0"/>
        <w:spacing w:lineRule="exact" w:line="700"/>
        <w:jc w:val="center"/>
        <w:rPr>
          <w:rFonts w:ascii="Times New Roman" w:cs="Times New Roman" w:eastAsia="方正小标宋简体" w:hAnsi="Times New Roman" w:hint="default"/>
          <w:color w:val="ff0000"/>
          <w:w w:val="96"/>
          <w:sz w:val="64"/>
          <w:szCs w:val="64"/>
        </w:rPr>
      </w:pPr>
    </w:p>
    <w:p>
      <w:pPr>
        <w:pStyle w:val="style0"/>
        <w:spacing w:lineRule="exact" w:line="700"/>
        <w:jc w:val="center"/>
        <w:rPr>
          <w:rFonts w:ascii="Times New Roman" w:cs="Times New Roman" w:eastAsia="方正小标宋简体" w:hAnsi="Times New Roman" w:hint="default"/>
          <w:color w:val="ff0000"/>
          <w:w w:val="96"/>
          <w:sz w:val="64"/>
          <w:szCs w:val="64"/>
        </w:rPr>
      </w:pPr>
    </w:p>
    <w:p>
      <w:pPr>
        <w:pStyle w:val="style0"/>
        <w:spacing w:lineRule="exact" w:line="700"/>
        <w:jc w:val="center"/>
        <w:rPr>
          <w:rFonts w:ascii="Times New Roman" w:cs="Times New Roman" w:eastAsia="仿宋_GB2312" w:hAnsi="Times New Roman" w:hint="default"/>
          <w:color w:val="000000"/>
          <w:w w:val="100"/>
          <w:sz w:val="32"/>
          <w:szCs w:val="32"/>
        </w:rPr>
      </w:pPr>
      <w:r>
        <w:rPr>
          <w:rFonts w:ascii="Times New Roman" w:cs="Times New Roman" w:eastAsia="仿宋_GB2312" w:hAnsi="Times New Roman" w:hint="default"/>
          <w:color w:val="000000"/>
          <w:w w:val="100"/>
          <w:sz w:val="32"/>
          <w:szCs w:val="32"/>
        </w:rPr>
        <w:t>桂市监发〔20</w:t>
      </w:r>
      <w:r>
        <w:rPr>
          <w:rFonts w:ascii="Times New Roman" w:cs="Times New Roman" w:eastAsia="仿宋_GB2312" w:hAnsi="Times New Roman" w:hint="default"/>
          <w:color w:val="000000"/>
          <w:w w:val="100"/>
          <w:sz w:val="32"/>
          <w:szCs w:val="32"/>
          <w:lang w:val="en-US" w:eastAsia="zh-CN"/>
        </w:rPr>
        <w:t>2</w:t>
      </w:r>
      <w:r>
        <w:rPr>
          <w:rFonts w:ascii="Times New Roman" w:cs="Times New Roman" w:eastAsia="仿宋_GB2312" w:hAnsi="Times New Roman" w:hint="eastAsia"/>
          <w:color w:val="000000"/>
          <w:w w:val="100"/>
          <w:sz w:val="32"/>
          <w:szCs w:val="32"/>
          <w:lang w:val="en-US" w:eastAsia="zh-CN"/>
        </w:rPr>
        <w:t>2</w:t>
      </w:r>
      <w:r>
        <w:rPr>
          <w:rFonts w:ascii="Times New Roman" w:cs="Times New Roman" w:eastAsia="仿宋_GB2312" w:hAnsi="Times New Roman" w:hint="default"/>
          <w:color w:val="000000"/>
          <w:w w:val="100"/>
          <w:sz w:val="32"/>
          <w:szCs w:val="32"/>
        </w:rPr>
        <w:t>〕</w:t>
      </w:r>
      <w:r>
        <w:rPr>
          <w:rFonts w:ascii="Times New Roman" w:cs="Times New Roman" w:eastAsia="仿宋_GB2312" w:hAnsi="Times New Roman" w:hint="eastAsia"/>
          <w:color w:val="000000"/>
          <w:w w:val="100"/>
          <w:sz w:val="32"/>
          <w:szCs w:val="32"/>
          <w:lang w:val="en-US" w:eastAsia="zh-CN"/>
        </w:rPr>
        <w:t>51</w:t>
      </w:r>
      <w:r>
        <w:rPr>
          <w:rFonts w:ascii="Times New Roman" w:cs="Times New Roman" w:eastAsia="仿宋_GB2312" w:hAnsi="Times New Roman" w:hint="default"/>
          <w:color w:val="000000"/>
          <w:w w:val="100"/>
          <w:sz w:val="32"/>
          <w:szCs w:val="32"/>
        </w:rPr>
        <w:t>号</w:t>
      </w:r>
    </w:p>
    <w:p>
      <w:pPr>
        <w:pStyle w:val="style0"/>
        <w:spacing w:lineRule="exact" w:line="640"/>
        <w:jc w:val="center"/>
        <w:rPr>
          <w:rFonts w:ascii="Times New Roman" w:cs="Times New Roman" w:eastAsia="方正小标宋简体" w:hAnsi="Times New Roman" w:hint="default"/>
          <w:color w:val="ff0000"/>
          <w:w w:val="96"/>
          <w:sz w:val="64"/>
          <w:szCs w:val="64"/>
        </w:rPr>
      </w:pPr>
      <w:r>
        <w:rPr>
          <w:rFonts w:ascii="Times New Roman" w:cs="Times New Roman" w:eastAsia="方正小标宋简体" w:hAnsi="Times New Roman" w:hint="default"/>
          <w:color w:val="ff0000"/>
          <w:sz w:val="64"/>
          <w:szCs w:val="64"/>
        </w:rPr>
        <mc:AlternateContent>
          <mc:Choice Requires="wps">
            <w:drawing>
              <wp:anchor distT="0" distB="0" distL="0" distR="0" simplePos="false" relativeHeight="2" behindDoc="false" locked="false" layoutInCell="true" allowOverlap="true">
                <wp:simplePos x="0" y="0"/>
                <wp:positionH relativeFrom="column">
                  <wp14:pctPosHOffset>0</wp14:pctPosHOffset>
                </wp:positionH>
                <wp:positionV relativeFrom="paragraph">
                  <wp14:pctPosVOffset>0</wp14:pctPosVOffset>
                </wp:positionV>
                <wp:extent cx="5615940" cy="1905"/>
                <wp:effectExtent l="0" t="0" r="0" b="0"/>
                <wp:wrapNone/>
                <wp:docPr id="1027"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5615940" cy="1905"/>
                        </a:xfrm>
                        <a:prstGeom prst="line">
                          <a:avLst/>
                        </a:prstGeom>
                        <a:ln cmpd="sng" cap="flat" w="31750">
                          <a:solidFill>
                            <a:srgbClr val="ff0000"/>
                          </a:solidFill>
                          <a:prstDash val="solid"/>
                          <a:miter/>
                          <a:headEnd/>
                          <a:tailEnd/>
                        </a:ln>
                      </wps:spPr>
                      <wps:bodyPr/>
                    </wps:wsp>
                  </a:graphicData>
                </a:graphic>
              </wp:anchor>
            </w:drawing>
          </mc:Choice>
          <mc:Fallback>
            <w:pict>
              <v:line id="1027" filled="f" stroked="t" from="-0.3pt,-2.15pt" to="441.9pt,-2.0pt" style="position:absolute;z-index:2;mso-position-horizontal-relative:text;mso-position-vertical-relative:text;mso-width-relative:page;mso-height-relative:page;mso-wrap-distance-left:0.0pt;mso-wrap-distance-right:0.0pt;visibility:visible;">
                <v:stroke joinstyle="miter" color="red" weight="2.5pt"/>
                <v:fill/>
                <v:path arrowok="t"/>
              </v:line>
            </w:pict>
          </mc:Fallback>
        </mc:AlternateContent>
      </w:r>
    </w:p>
    <w:p>
      <w:pPr>
        <w:pStyle w:val="style0"/>
        <w:keepNext w:val="false"/>
        <w:keepLines w:val="false"/>
        <w:pageBreakBefore w:val="false"/>
        <w:widowControl w:val="false"/>
        <w:kinsoku/>
        <w:wordWrap/>
        <w:overflowPunct/>
        <w:topLinePunct w:val="false"/>
        <w:autoSpaceDE/>
        <w:autoSpaceDN/>
        <w:bidi w:val="false"/>
        <w:adjustRightInd w:val="false"/>
        <w:snapToGrid w:val="false"/>
        <w:spacing w:beforeAutospacing="false" w:afterAutospacing="false" w:lineRule="exact" w:line="640"/>
        <w:jc w:val="center"/>
        <w:textAlignment w:val="auto"/>
        <w:rPr>
          <w:rFonts w:ascii="方正小标宋简体" w:cs="方正小标宋简体" w:eastAsia="方正小标宋简体" w:hAnsi="方正小标宋简体" w:hint="eastAsia"/>
          <w:color w:val="auto"/>
          <w:sz w:val="44"/>
          <w:szCs w:val="44"/>
          <w:lang w:val="en-US" w:eastAsia="zh-CN"/>
        </w:rPr>
      </w:pPr>
      <w:r>
        <w:rPr>
          <w:rFonts w:ascii="方正小标宋简体" w:cs="方正小标宋简体" w:eastAsia="方正小标宋简体" w:hAnsi="方正小标宋简体" w:hint="eastAsia"/>
          <w:color w:val="auto"/>
          <w:sz w:val="44"/>
          <w:szCs w:val="44"/>
          <w:lang w:val="en-US" w:eastAsia="zh-CN"/>
        </w:rPr>
        <w:t>自治区市场监管局 自治区财政厅</w:t>
      </w:r>
    </w:p>
    <w:p>
      <w:pPr>
        <w:pStyle w:val="style0"/>
        <w:keepNext w:val="false"/>
        <w:keepLines w:val="false"/>
        <w:pageBreakBefore w:val="false"/>
        <w:widowControl w:val="false"/>
        <w:kinsoku/>
        <w:wordWrap/>
        <w:overflowPunct/>
        <w:topLinePunct w:val="false"/>
        <w:autoSpaceDE/>
        <w:autoSpaceDN/>
        <w:bidi w:val="false"/>
        <w:adjustRightInd w:val="false"/>
        <w:snapToGrid w:val="false"/>
        <w:spacing w:beforeAutospacing="false" w:afterAutospacing="false" w:lineRule="exact" w:line="640"/>
        <w:jc w:val="center"/>
        <w:textAlignment w:val="auto"/>
        <w:rPr>
          <w:rFonts w:ascii="方正小标宋简体" w:cs="方正小标宋简体" w:eastAsia="方正小标宋简体" w:hAnsi="方正小标宋简体" w:hint="eastAsia"/>
          <w:color w:val="auto"/>
          <w:sz w:val="44"/>
          <w:szCs w:val="44"/>
          <w:lang w:eastAsia="zh-CN"/>
        </w:rPr>
      </w:pPr>
      <w:r>
        <w:rPr>
          <w:rFonts w:ascii="方正小标宋简体" w:cs="方正小标宋简体" w:eastAsia="方正小标宋简体" w:hAnsi="方正小标宋简体" w:hint="eastAsia"/>
          <w:color w:val="auto"/>
          <w:sz w:val="44"/>
          <w:szCs w:val="44"/>
          <w:lang w:val="en-US" w:eastAsia="zh-CN"/>
        </w:rPr>
        <w:t>关于支持</w:t>
      </w:r>
      <w:r>
        <w:rPr>
          <w:rFonts w:ascii="方正小标宋简体" w:cs="方正小标宋简体" w:eastAsia="方正小标宋简体" w:hAnsi="方正小标宋简体" w:hint="eastAsia"/>
          <w:color w:val="auto"/>
          <w:sz w:val="44"/>
          <w:szCs w:val="44"/>
          <w:lang w:eastAsia="zh-CN"/>
        </w:rPr>
        <w:t>实施</w:t>
      </w:r>
      <w:r>
        <w:rPr>
          <w:rFonts w:ascii="方正小标宋简体" w:cs="方正小标宋简体" w:eastAsia="方正小标宋简体" w:hAnsi="方正小标宋简体" w:hint="eastAsia"/>
          <w:color w:val="auto"/>
          <w:sz w:val="44"/>
          <w:szCs w:val="44"/>
          <w:lang w:val="en-US" w:eastAsia="zh-CN"/>
        </w:rPr>
        <w:t>广西专利转化专项计划的</w:t>
      </w:r>
      <w:r>
        <w:rPr>
          <w:rFonts w:ascii="方正小标宋简体" w:cs="方正小标宋简体" w:eastAsia="方正小标宋简体" w:hAnsi="方正小标宋简体" w:hint="eastAsia"/>
          <w:color w:val="auto"/>
          <w:sz w:val="44"/>
          <w:szCs w:val="44"/>
          <w:lang w:eastAsia="zh-CN"/>
        </w:rPr>
        <w:t>通知</w:t>
      </w:r>
    </w:p>
    <w:p>
      <w:pPr>
        <w:pStyle w:val="style4097"/>
        <w:keepNext w:val="false"/>
        <w:keepLines w:val="false"/>
        <w:pageBreakBefore w:val="false"/>
        <w:widowControl w:val="false"/>
        <w:numPr>
          <w:ilvl w:val="0"/>
          <w:numId w:val="0"/>
        </w:numPr>
        <w:kinsoku/>
        <w:wordWrap/>
        <w:overflowPunct/>
        <w:topLinePunct w:val="false"/>
        <w:autoSpaceDE/>
        <w:autoSpaceDN/>
        <w:bidi w:val="false"/>
        <w:adjustRightInd w:val="false"/>
        <w:snapToGrid w:val="false"/>
        <w:spacing w:beforeAutospacing="false" w:afterAutospacing="false" w:lineRule="exact" w:line="640"/>
        <w:ind w:firstLine="640" w:firstLineChars="200"/>
        <w:jc w:val="both"/>
        <w:textAlignment w:val="auto"/>
        <w:rPr>
          <w:rFonts w:ascii="Times New Roman" w:cs="Times New Roman" w:hAnsi="Times New Roman" w:hint="eastAsia"/>
          <w:color w:val="auto"/>
          <w:sz w:val="32"/>
          <w:szCs w:val="32"/>
          <w:highlight w:val="none"/>
          <w:lang w:val="en-US" w:eastAsia="zh-CN"/>
        </w:rPr>
      </w:pPr>
    </w:p>
    <w:p>
      <w:pPr>
        <w:pStyle w:val="style4097"/>
        <w:keepNext w:val="false"/>
        <w:keepLines w:val="false"/>
        <w:pageBreakBefore w:val="false"/>
        <w:widowControl w:val="false"/>
        <w:numPr>
          <w:ilvl w:val="0"/>
          <w:numId w:val="0"/>
        </w:numPr>
        <w:kinsoku/>
        <w:wordWrap/>
        <w:overflowPunct/>
        <w:topLinePunct w:val="false"/>
        <w:autoSpaceDE/>
        <w:autoSpaceDN/>
        <w:bidi w:val="false"/>
        <w:adjustRightInd w:val="false"/>
        <w:snapToGrid w:val="false"/>
        <w:spacing w:beforeAutospacing="false" w:afterAutospacing="false" w:lineRule="exact" w:line="560"/>
        <w:jc w:val="both"/>
        <w:textAlignment w:val="auto"/>
        <w:rPr>
          <w:rFonts w:ascii="Times New Roman" w:cs="Times New Roman" w:hAnsi="Times New Roman" w:hint="eastAsia"/>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各市、县市场监管局、财政局，各有关单位：</w:t>
      </w:r>
    </w:p>
    <w:p>
      <w:pPr>
        <w:pStyle w:val="style4097"/>
        <w:keepNext w:val="false"/>
        <w:keepLines w:val="false"/>
        <w:pageBreakBefore w:val="false"/>
        <w:widowControl w:val="false"/>
        <w:numPr>
          <w:ilvl w:val="0"/>
          <w:numId w:val="0"/>
        </w:numPr>
        <w:kinsoku/>
        <w:wordWrap/>
        <w:overflowPunct/>
        <w:topLinePunct w:val="false"/>
        <w:autoSpaceDE/>
        <w:autoSpaceDN/>
        <w:bidi w:val="false"/>
        <w:adjustRightInd w:val="false"/>
        <w:snapToGrid w:val="false"/>
        <w:spacing w:beforeAutospacing="false" w:afterAutospacing="false" w:lineRule="exact" w:line="560"/>
        <w:ind w:firstLine="640" w:firstLineChars="200"/>
        <w:jc w:val="both"/>
        <w:textAlignment w:val="auto"/>
        <w:rPr>
          <w:rFonts w:ascii="Times New Roman" w:cs="Times New Roman" w:eastAsia="仿宋_GB2312" w:hAnsi="Times New Roman" w:hint="default"/>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根据《财政部办公厅 国家知识产权局办公室关于实施专利转化专项计划 助力中小企业创新发展的通知》（财办建〔2021〕23号）、《国家知识产权局办公室 财政部办公厅关于做好2022年专利转化专项计划有关工作的通知》（国知办发运字〔2022〕32号）和《自治区市场监管局 自治区财政厅关于印发</w:t>
      </w:r>
      <w:r>
        <w:rPr>
          <w:rFonts w:ascii="仿宋_GB2312" w:cs="仿宋_GB2312" w:eastAsia="仿宋_GB2312" w:hAnsi="仿宋_GB2312" w:hint="eastAsia"/>
          <w:color w:val="auto"/>
          <w:sz w:val="32"/>
          <w:szCs w:val="32"/>
          <w:highlight w:val="none"/>
          <w:lang w:val="en-US" w:eastAsia="zh-CN"/>
        </w:rPr>
        <w:t>〈</w:t>
      </w:r>
      <w:r>
        <w:rPr>
          <w:rFonts w:ascii="Times New Roman" w:cs="Times New Roman" w:hAnsi="Times New Roman" w:hint="eastAsia"/>
          <w:color w:val="auto"/>
          <w:sz w:val="32"/>
          <w:szCs w:val="32"/>
          <w:highlight w:val="none"/>
          <w:lang w:val="en-US" w:eastAsia="zh-CN"/>
        </w:rPr>
        <w:t>广西壮族自治区实施专利转化专项计划助力中小企业创新发展的三年行动实施方案（2021-2023年）</w:t>
      </w:r>
      <w:r>
        <w:rPr>
          <w:rFonts w:ascii="仿宋_GB2312" w:cs="仿宋_GB2312" w:eastAsia="仿宋_GB2312" w:hAnsi="仿宋_GB2312" w:hint="eastAsia"/>
          <w:color w:val="auto"/>
          <w:sz w:val="32"/>
          <w:szCs w:val="32"/>
          <w:highlight w:val="none"/>
          <w:lang w:val="en-US" w:eastAsia="zh-CN"/>
        </w:rPr>
        <w:t>〉</w:t>
      </w:r>
      <w:r>
        <w:rPr>
          <w:rFonts w:ascii="Times New Roman" w:cs="Times New Roman" w:hAnsi="Times New Roman" w:hint="eastAsia"/>
          <w:color w:val="auto"/>
          <w:sz w:val="32"/>
          <w:szCs w:val="32"/>
          <w:highlight w:val="none"/>
          <w:lang w:val="en-US" w:eastAsia="zh-CN"/>
        </w:rPr>
        <w:t>的通知》（桂市监发〔2021〕7号）要求，</w:t>
      </w:r>
      <w:r>
        <w:rPr>
          <w:rFonts w:ascii="Times New Roman" w:cs="Times New Roman" w:eastAsia="仿宋_GB2312" w:hAnsi="Times New Roman" w:hint="default"/>
          <w:color w:val="auto"/>
          <w:sz w:val="32"/>
          <w:szCs w:val="32"/>
          <w:highlight w:val="none"/>
          <w:lang w:val="en-US" w:eastAsia="zh-CN"/>
        </w:rPr>
        <w:t>为加快推进实施广西专利转化计划</w:t>
      </w:r>
      <w:r>
        <w:rPr>
          <w:rFonts w:ascii="Times New Roman" w:cs="Times New Roman" w:eastAsia="仿宋_GB2312" w:hAnsi="Times New Roman" w:hint="default"/>
          <w:color w:val="auto"/>
          <w:sz w:val="32"/>
          <w:szCs w:val="32"/>
          <w:highlight w:val="none"/>
        </w:rPr>
        <w:t>，</w:t>
      </w:r>
      <w:r>
        <w:rPr>
          <w:rFonts w:ascii="Times New Roman" w:cs="Times New Roman" w:eastAsia="仿宋_GB2312" w:hAnsi="Times New Roman" w:hint="default"/>
          <w:color w:val="auto"/>
          <w:sz w:val="32"/>
          <w:szCs w:val="32"/>
          <w:highlight w:val="none"/>
          <w:lang w:val="en-US" w:eastAsia="zh-CN"/>
        </w:rPr>
        <w:t>提升高校院所等创新主体知识产权转化率和实施效益，促进创新成果更多惠及中小微企业，推动构建新发展格局，结合我区实际，</w:t>
      </w:r>
      <w:r>
        <w:rPr>
          <w:rFonts w:ascii="Times New Roman" w:cs="Times New Roman" w:hAnsi="Times New Roman" w:hint="eastAsia"/>
          <w:color w:val="auto"/>
          <w:sz w:val="32"/>
          <w:szCs w:val="32"/>
          <w:highlight w:val="none"/>
          <w:lang w:val="en-US" w:eastAsia="zh-CN"/>
        </w:rPr>
        <w:t>现就实施广西专利转化专项计划提出如下措施</w:t>
      </w:r>
      <w:r>
        <w:rPr>
          <w:rFonts w:ascii="Times New Roman" w:cs="Times New Roman" w:eastAsia="仿宋_GB2312" w:hAnsi="Times New Roman" w:hint="default"/>
          <w:color w:val="auto"/>
          <w:sz w:val="32"/>
          <w:szCs w:val="32"/>
          <w:highlight w:val="none"/>
          <w:lang w:val="en-US" w:eastAsia="zh-CN"/>
        </w:rPr>
        <w:t>。</w:t>
      </w:r>
    </w:p>
    <w:p>
      <w:pPr>
        <w:pStyle w:val="style4097"/>
        <w:keepNext w:val="false"/>
        <w:keepLines w:val="false"/>
        <w:pageBreakBefore w:val="false"/>
        <w:widowControl w:val="false"/>
        <w:numPr>
          <w:ilvl w:val="0"/>
          <w:numId w:val="0"/>
        </w:numPr>
        <w:kinsoku/>
        <w:wordWrap/>
        <w:overflowPunct/>
        <w:topLinePunct w:val="false"/>
        <w:autoSpaceDE/>
        <w:autoSpaceDN/>
        <w:bidi w:val="false"/>
        <w:adjustRightInd w:val="false"/>
        <w:snapToGrid w:val="false"/>
        <w:spacing w:beforeAutospacing="false" w:afterAutospacing="false" w:lineRule="exact" w:line="560"/>
        <w:ind w:firstLine="640" w:firstLineChars="200"/>
        <w:jc w:val="both"/>
        <w:textAlignment w:val="auto"/>
        <w:rPr>
          <w:rFonts w:ascii="Times New Roman" w:cs="Times New Roman" w:hAnsi="Times New Roman" w:hint="default"/>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一、对我区</w:t>
      </w:r>
      <w:r>
        <w:rPr>
          <w:rFonts w:ascii="Times New Roman" w:cs="Times New Roman" w:eastAsia="仿宋_GB2312" w:hAnsi="Times New Roman" w:hint="default"/>
          <w:color w:val="auto"/>
          <w:sz w:val="32"/>
          <w:szCs w:val="32"/>
          <w:highlight w:val="none"/>
          <w:lang w:val="en-US" w:eastAsia="zh-CN"/>
        </w:rPr>
        <w:t>高校</w:t>
      </w:r>
      <w:r>
        <w:rPr>
          <w:rFonts w:ascii="Times New Roman" w:cs="Times New Roman" w:hAnsi="Times New Roman" w:hint="eastAsia"/>
          <w:color w:val="auto"/>
          <w:sz w:val="32"/>
          <w:szCs w:val="32"/>
          <w:highlight w:val="none"/>
          <w:lang w:val="en-US" w:eastAsia="zh-CN"/>
        </w:rPr>
        <w:t>院所（含设立的研究院、专利运营机构等）</w:t>
      </w:r>
      <w:r>
        <w:rPr>
          <w:rFonts w:ascii="Times New Roman" w:cs="Times New Roman" w:eastAsia="仿宋_GB2312" w:hAnsi="Times New Roman" w:hint="default"/>
          <w:color w:val="auto"/>
          <w:sz w:val="32"/>
          <w:szCs w:val="32"/>
          <w:highlight w:val="none"/>
          <w:lang w:val="en-US" w:eastAsia="zh-CN"/>
        </w:rPr>
        <w:t>向中小微企业开展专利转让、许可等专利转化工作，通过广西知识产权交易中心交易或公示，并在国家知识产权局办理完成专利权转移或许可合同备案手续，</w:t>
      </w:r>
      <w:r>
        <w:rPr>
          <w:rFonts w:ascii="Times New Roman" w:cs="Times New Roman" w:hAnsi="Times New Roman" w:hint="eastAsia"/>
          <w:color w:val="auto"/>
          <w:sz w:val="32"/>
          <w:szCs w:val="32"/>
          <w:highlight w:val="none"/>
          <w:lang w:val="en-US" w:eastAsia="zh-CN"/>
        </w:rPr>
        <w:t>且转让、许可的专利数量总数达到10件以上的，按发明专利1万元/件、实用新型专利0.5万元/件给予奖励。</w:t>
      </w:r>
    </w:p>
    <w:p>
      <w:pPr>
        <w:pStyle w:val="style4097"/>
        <w:keepNext w:val="false"/>
        <w:keepLines w:val="false"/>
        <w:pageBreakBefore w:val="false"/>
        <w:widowControl w:val="false"/>
        <w:kinsoku/>
        <w:wordWrap/>
        <w:overflowPunct/>
        <w:topLinePunct w:val="false"/>
        <w:autoSpaceDE/>
        <w:autoSpaceDN/>
        <w:bidi w:val="false"/>
        <w:adjustRightInd w:val="false"/>
        <w:snapToGrid w:val="false"/>
        <w:spacing w:beforeAutospacing="false" w:afterAutospacing="false" w:lineRule="exact" w:line="560"/>
        <w:ind w:left="0" w:leftChars="0" w:firstLine="640" w:firstLineChars="200"/>
        <w:jc w:val="both"/>
        <w:textAlignment w:val="auto"/>
        <w:rPr>
          <w:rFonts w:ascii="Times New Roman" w:cs="Times New Roman" w:hAnsi="Times New Roman" w:hint="default"/>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二、对</w:t>
      </w:r>
      <w:r>
        <w:rPr>
          <w:rFonts w:ascii="Times New Roman" w:cs="Times New Roman" w:eastAsia="仿宋_GB2312" w:hAnsi="Times New Roman" w:hint="default"/>
          <w:color w:val="auto"/>
          <w:sz w:val="32"/>
          <w:szCs w:val="32"/>
          <w:highlight w:val="none"/>
          <w:lang w:val="en-US" w:eastAsia="zh-CN"/>
        </w:rPr>
        <w:t>我区中小微企业通过转让、许可等方式，从高校</w:t>
      </w:r>
      <w:r>
        <w:rPr>
          <w:rFonts w:ascii="Times New Roman" w:cs="Times New Roman" w:hAnsi="Times New Roman" w:hint="eastAsia"/>
          <w:color w:val="auto"/>
          <w:sz w:val="32"/>
          <w:szCs w:val="32"/>
          <w:highlight w:val="none"/>
          <w:lang w:val="en-US" w:eastAsia="zh-CN"/>
        </w:rPr>
        <w:t>院所（含设立的研究院、专利运营机构等）、国有企业</w:t>
      </w:r>
      <w:r>
        <w:rPr>
          <w:rFonts w:ascii="Times New Roman" w:cs="Times New Roman" w:eastAsia="仿宋_GB2312" w:hAnsi="Times New Roman" w:hint="default"/>
          <w:color w:val="auto"/>
          <w:sz w:val="32"/>
          <w:szCs w:val="32"/>
          <w:highlight w:val="none"/>
          <w:lang w:val="en-US" w:eastAsia="zh-CN"/>
        </w:rPr>
        <w:t>获取专利技术，通过广西知识产权交易中心交易或公示，并在国家知识产权局办理完成专利权转移或许可合同备案手续的，</w:t>
      </w:r>
      <w:r>
        <w:rPr>
          <w:rFonts w:ascii="Times New Roman" w:cs="Times New Roman" w:hAnsi="Times New Roman" w:hint="eastAsia"/>
          <w:color w:val="auto"/>
          <w:sz w:val="32"/>
          <w:szCs w:val="32"/>
          <w:highlight w:val="none"/>
          <w:lang w:val="en-US" w:eastAsia="zh-CN"/>
        </w:rPr>
        <w:t>按发明专利1万元/件、实用新型专利0.5万元/件给予奖励，每家企业累计不超过10万元。</w:t>
      </w:r>
    </w:p>
    <w:p>
      <w:pPr>
        <w:pStyle w:val="style4097"/>
        <w:keepNext w:val="false"/>
        <w:keepLines w:val="false"/>
        <w:pageBreakBefore w:val="false"/>
        <w:widowControl w:val="false"/>
        <w:kinsoku/>
        <w:wordWrap/>
        <w:overflowPunct/>
        <w:topLinePunct w:val="false"/>
        <w:autoSpaceDE/>
        <w:autoSpaceDN/>
        <w:bidi w:val="false"/>
        <w:adjustRightInd w:val="false"/>
        <w:snapToGrid w:val="false"/>
        <w:spacing w:beforeAutospacing="false" w:afterAutospacing="false" w:lineRule="exact" w:line="560"/>
        <w:ind w:left="0" w:leftChars="0" w:firstLine="640" w:firstLineChars="200"/>
        <w:jc w:val="both"/>
        <w:textAlignment w:val="auto"/>
        <w:rPr>
          <w:rFonts w:ascii="Times New Roman" w:cs="Times New Roman" w:eastAsia="仿宋_GB2312" w:hAnsi="Times New Roman" w:hint="default"/>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三</w:t>
      </w:r>
      <w:r>
        <w:rPr>
          <w:rFonts w:ascii="Times New Roman" w:cs="Times New Roman" w:eastAsia="仿宋_GB2312" w:hAnsi="Times New Roman" w:hint="default"/>
          <w:color w:val="auto"/>
          <w:sz w:val="32"/>
          <w:szCs w:val="32"/>
          <w:highlight w:val="none"/>
          <w:lang w:val="en-US" w:eastAsia="zh-CN"/>
        </w:rPr>
        <w:t>、</w:t>
      </w:r>
      <w:r>
        <w:rPr>
          <w:rFonts w:ascii="仿宋_GB2312" w:cs="仿宋_GB2312" w:eastAsia="仿宋_GB2312" w:hAnsi="仿宋_GB2312" w:hint="eastAsia"/>
          <w:color w:val="auto"/>
          <w:sz w:val="32"/>
          <w:szCs w:val="32"/>
          <w:highlight w:val="none"/>
        </w:rPr>
        <w:t>鼓励</w:t>
      </w:r>
      <w:r>
        <w:rPr>
          <w:rFonts w:ascii="仿宋_GB2312" w:cs="仿宋_GB2312" w:eastAsia="仿宋_GB2312" w:hAnsi="仿宋_GB2312" w:hint="eastAsia"/>
          <w:color w:val="auto"/>
          <w:sz w:val="32"/>
          <w:szCs w:val="32"/>
          <w:highlight w:val="none"/>
          <w:lang w:eastAsia="zh-CN"/>
        </w:rPr>
        <w:t>自治区人民</w:t>
      </w:r>
      <w:r>
        <w:rPr>
          <w:rFonts w:ascii="仿宋_GB2312" w:cs="仿宋_GB2312" w:eastAsia="仿宋_GB2312" w:hAnsi="仿宋_GB2312" w:hint="eastAsia"/>
          <w:color w:val="auto"/>
          <w:sz w:val="32"/>
          <w:szCs w:val="32"/>
          <w:highlight w:val="none"/>
        </w:rPr>
        <w:t>政府批准依法设立的知识产权交易平台（中心）提供知识产权入场挂牌、风险管理、备案公示</w:t>
      </w:r>
      <w:r>
        <w:rPr>
          <w:rFonts w:ascii="Times New Roman" w:cs="Times New Roman" w:eastAsia="仿宋_GB2312" w:hAnsi="Times New Roman" w:hint="default"/>
          <w:color w:val="auto"/>
          <w:sz w:val="32"/>
          <w:szCs w:val="32"/>
          <w:highlight w:val="none"/>
        </w:rPr>
        <w:t>、分析评价、法律援助、融资对接、处置交易等“一站式”综合服务，按其实际完成交易及融资总额的2%给予奖励，</w:t>
      </w:r>
      <w:r>
        <w:rPr>
          <w:rFonts w:ascii="Times New Roman" w:cs="Times New Roman" w:hAnsi="Times New Roman" w:hint="eastAsia"/>
          <w:color w:val="auto"/>
          <w:sz w:val="32"/>
          <w:szCs w:val="32"/>
          <w:highlight w:val="none"/>
          <w:lang w:eastAsia="zh-CN"/>
        </w:rPr>
        <w:t>每个平台（中心）</w:t>
      </w:r>
      <w:r>
        <w:rPr>
          <w:rFonts w:ascii="Times New Roman" w:cs="Times New Roman" w:eastAsia="仿宋_GB2312" w:hAnsi="Times New Roman" w:hint="default"/>
          <w:color w:val="auto"/>
          <w:sz w:val="32"/>
          <w:szCs w:val="32"/>
          <w:highlight w:val="none"/>
        </w:rPr>
        <w:t>奖励金额</w:t>
      </w:r>
      <w:r>
        <w:rPr>
          <w:rFonts w:ascii="Times New Roman" w:cs="Times New Roman" w:hAnsi="Times New Roman" w:hint="eastAsia"/>
          <w:color w:val="auto"/>
          <w:sz w:val="32"/>
          <w:szCs w:val="32"/>
          <w:highlight w:val="none"/>
          <w:lang w:eastAsia="zh-CN"/>
        </w:rPr>
        <w:t>不超过</w:t>
      </w:r>
      <w:r>
        <w:rPr>
          <w:rFonts w:ascii="Times New Roman" w:cs="Times New Roman" w:hAnsi="Times New Roman" w:hint="eastAsia"/>
          <w:color w:val="auto"/>
          <w:sz w:val="32"/>
          <w:szCs w:val="32"/>
          <w:highlight w:val="none"/>
          <w:lang w:val="en-US" w:eastAsia="zh-CN"/>
        </w:rPr>
        <w:t>30</w:t>
      </w:r>
      <w:r>
        <w:rPr>
          <w:rFonts w:ascii="Times New Roman" w:cs="Times New Roman" w:eastAsia="仿宋_GB2312" w:hAnsi="Times New Roman" w:hint="default"/>
          <w:color w:val="auto"/>
          <w:sz w:val="32"/>
          <w:szCs w:val="32"/>
          <w:highlight w:val="none"/>
        </w:rPr>
        <w:t>万元。</w:t>
      </w:r>
    </w:p>
    <w:p>
      <w:pPr>
        <w:pStyle w:val="style4097"/>
        <w:keepNext w:val="false"/>
        <w:keepLines w:val="false"/>
        <w:pageBreakBefore w:val="false"/>
        <w:kinsoku/>
        <w:wordWrap/>
        <w:overflowPunct/>
        <w:topLinePunct w:val="false"/>
        <w:bidi w:val="false"/>
        <w:adjustRightInd w:val="false"/>
        <w:snapToGrid w:val="false"/>
        <w:spacing w:beforeAutospacing="false" w:afterAutospacing="false" w:lineRule="exact" w:line="560"/>
        <w:jc w:val="both"/>
        <w:textAlignment w:val="auto"/>
        <w:rPr>
          <w:rFonts w:ascii="Times New Roman" w:cs="Times New Roman" w:hAnsi="Times New Roman" w:hint="eastAsia"/>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四、对推动广西实施专利专项计划表现较为突出的有关地市、</w:t>
      </w:r>
      <w:r>
        <w:rPr>
          <w:rFonts w:ascii="Times New Roman" w:cs="Times New Roman" w:eastAsia="仿宋_GB2312" w:hAnsi="Times New Roman" w:hint="default"/>
          <w:color w:val="auto"/>
          <w:sz w:val="32"/>
          <w:szCs w:val="32"/>
          <w:highlight w:val="none"/>
          <w:lang w:val="en-US" w:eastAsia="zh-CN"/>
        </w:rPr>
        <w:t>高校、科研机构</w:t>
      </w:r>
      <w:r>
        <w:rPr>
          <w:rFonts w:ascii="Times New Roman" w:cs="Times New Roman" w:hAnsi="Times New Roman" w:hint="eastAsia"/>
          <w:color w:val="auto"/>
          <w:sz w:val="32"/>
          <w:szCs w:val="32"/>
          <w:highlight w:val="none"/>
          <w:lang w:val="en-US" w:eastAsia="zh-CN"/>
        </w:rPr>
        <w:t>及企业等，在国家、自治区知识产权试点示范推荐评定、自治区知识产权督查激励、专利优先审查推荐及专利申请精准管理名单推荐等方面给予优先支持。</w:t>
      </w:r>
    </w:p>
    <w:p>
      <w:pPr>
        <w:pStyle w:val="style4097"/>
        <w:keepNext w:val="false"/>
        <w:keepLines w:val="false"/>
        <w:pageBreakBefore w:val="false"/>
        <w:kinsoku/>
        <w:wordWrap/>
        <w:overflowPunct/>
        <w:topLinePunct w:val="false"/>
        <w:bidi w:val="false"/>
        <w:adjustRightInd w:val="false"/>
        <w:snapToGrid w:val="false"/>
        <w:spacing w:beforeAutospacing="false" w:afterAutospacing="false" w:lineRule="exact" w:line="560"/>
        <w:jc w:val="both"/>
        <w:textAlignment w:val="auto"/>
        <w:rPr>
          <w:rFonts w:ascii="Times New Roman" w:cs="Times New Roman" w:hAnsi="Times New Roman" w:hint="eastAsia"/>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五、申请专利转化专项计划奖补资金的相关单位应提供真实的材料和凭证，对提供虚假材料及通过明显不以技术创新和实施为目的的专利转让、许可等不正当行为骗取或套取奖补资金的，按照有关规定处理。</w:t>
      </w:r>
    </w:p>
    <w:p>
      <w:pPr>
        <w:pStyle w:val="style4097"/>
        <w:adjustRightInd w:val="false"/>
        <w:snapToGrid w:val="false"/>
        <w:spacing w:lineRule="exact" w:line="560"/>
        <w:rPr>
          <w:rFonts w:ascii="Times New Roman" w:eastAsia="仿宋_GB2312" w:hAnsi="Times New Roman" w:hint="eastAsia"/>
          <w:color w:val="auto"/>
          <w:sz w:val="32"/>
          <w:szCs w:val="32"/>
          <w:highlight w:val="none"/>
          <w:lang w:val="en-US" w:eastAsia="zh-CN"/>
        </w:rPr>
      </w:pPr>
      <w:r>
        <w:rPr>
          <w:rFonts w:ascii="Times New Roman" w:cs="Times New Roman" w:hAnsi="Times New Roman" w:hint="eastAsia"/>
          <w:color w:val="auto"/>
          <w:sz w:val="32"/>
          <w:szCs w:val="32"/>
          <w:highlight w:val="none"/>
          <w:lang w:val="en-US" w:eastAsia="zh-CN"/>
        </w:rPr>
        <w:t>本措施由自治区市场监管局、自治区财政厅负责解释，实施期自2022年10月1日至2022年12月31日。</w:t>
      </w:r>
      <w:r>
        <w:rPr>
          <w:rFonts w:ascii="Times New Roman" w:cs="Times New Roman" w:eastAsia="仿宋_GB2312" w:hAnsi="Times New Roman" w:hint="default"/>
          <w:color w:val="auto"/>
          <w:sz w:val="32"/>
          <w:szCs w:val="32"/>
          <w:highlight w:val="none"/>
          <w:lang w:val="en-US" w:eastAsia="zh-CN"/>
        </w:rPr>
        <w:t>在执行过程中，</w:t>
      </w:r>
      <w:r>
        <w:rPr>
          <w:rFonts w:ascii="Times New Roman" w:cs="Times New Roman" w:hAnsi="Times New Roman" w:hint="eastAsia"/>
          <w:color w:val="auto"/>
          <w:sz w:val="32"/>
          <w:szCs w:val="32"/>
          <w:highlight w:val="none"/>
          <w:lang w:val="en-US" w:eastAsia="zh-CN"/>
        </w:rPr>
        <w:t>将</w:t>
      </w:r>
      <w:r>
        <w:rPr>
          <w:rFonts w:ascii="Times New Roman" w:cs="Times New Roman" w:eastAsia="仿宋_GB2312" w:hAnsi="Times New Roman" w:hint="default"/>
          <w:color w:val="auto"/>
          <w:sz w:val="32"/>
          <w:szCs w:val="32"/>
          <w:highlight w:val="none"/>
          <w:lang w:val="en-US" w:eastAsia="zh-CN"/>
        </w:rPr>
        <w:t>及时对措施执行情况进行评估并根据实际需要适时调整。</w:t>
      </w:r>
    </w:p>
    <w:p>
      <w:pPr>
        <w:pStyle w:val="style0"/>
        <w:spacing w:lineRule="exact" w:line="560"/>
        <w:ind w:firstLine="640" w:firstLineChars="200"/>
        <w:rPr>
          <w:rFonts w:ascii="Times New Roman" w:eastAsia="仿宋_GB2312" w:hAnsi="Times New Roman" w:hint="eastAsia"/>
          <w:color w:val="auto"/>
          <w:sz w:val="32"/>
          <w:szCs w:val="32"/>
          <w:highlight w:val="none"/>
          <w:lang w:val="en-US" w:eastAsia="zh-CN"/>
        </w:rPr>
      </w:pPr>
      <w:r>
        <w:rPr>
          <w:rFonts w:ascii="Times New Roman" w:eastAsia="仿宋_GB2312" w:hAnsi="Times New Roman" w:hint="eastAsia"/>
          <w:color w:val="auto"/>
          <w:sz w:val="32"/>
          <w:szCs w:val="32"/>
          <w:highlight w:val="none"/>
          <w:lang w:val="en-US" w:eastAsia="zh-CN"/>
        </w:rPr>
        <w:t>广西知识产权交易中心联系人：杨欢欢，联系电话：</w:t>
      </w:r>
      <w:r>
        <w:rPr>
          <w:rFonts w:ascii="Times New Roman" w:eastAsia="仿宋_GB2312" w:hAnsi="Times New Roman" w:hint="eastAsia"/>
          <w:color w:val="auto"/>
          <w:sz w:val="32"/>
          <w:szCs w:val="32"/>
          <w:highlight w:val="none"/>
          <w:lang w:val="en-US" w:eastAsia="zh-CN"/>
        </w:rPr>
        <w:t>0771-5880208</w:t>
      </w:r>
      <w:r>
        <w:rPr>
          <w:rFonts w:ascii="Times New Roman" w:eastAsia="仿宋_GB2312" w:hAnsi="Times New Roman" w:hint="eastAsia"/>
          <w:color w:val="auto"/>
          <w:sz w:val="32"/>
          <w:szCs w:val="32"/>
          <w:highlight w:val="none"/>
          <w:lang w:val="en-US" w:eastAsia="zh-CN"/>
        </w:rPr>
        <w:t>，地址：广西南宁市良庆区凯旋路15号南宁绿地中心5号楼；</w:t>
      </w:r>
    </w:p>
    <w:p>
      <w:pPr>
        <w:pStyle w:val="style0"/>
        <w:spacing w:lineRule="exact" w:line="560"/>
        <w:ind w:firstLine="640" w:firstLineChars="200"/>
        <w:rPr>
          <w:rFonts w:ascii="Times New Roman" w:eastAsia="仿宋_GB2312" w:hAnsi="Times New Roman" w:hint="eastAsia"/>
          <w:color w:val="auto"/>
          <w:sz w:val="32"/>
          <w:szCs w:val="32"/>
          <w:highlight w:val="none"/>
          <w:lang w:val="en-US" w:eastAsia="zh-CN"/>
        </w:rPr>
      </w:pPr>
      <w:r>
        <w:rPr>
          <w:rFonts w:ascii="Times New Roman" w:eastAsia="仿宋_GB2312" w:hAnsi="Times New Roman" w:hint="eastAsia"/>
          <w:color w:val="auto"/>
          <w:sz w:val="32"/>
          <w:szCs w:val="32"/>
          <w:highlight w:val="none"/>
          <w:lang w:val="en-US" w:eastAsia="zh-CN"/>
        </w:rPr>
        <w:t xml:space="preserve">自治区市场监管局联系人：周灵昕，联系电话：0771-5808851。 </w:t>
      </w:r>
    </w:p>
    <w:p>
      <w:pPr>
        <w:pStyle w:val="style0"/>
        <w:spacing w:lineRule="exact" w:line="560"/>
        <w:rPr>
          <w:rFonts w:ascii="Times New Roman" w:eastAsia="仿宋_GB2312" w:hAnsi="Times New Roman" w:hint="default"/>
          <w:color w:val="auto"/>
          <w:sz w:val="32"/>
          <w:szCs w:val="32"/>
          <w:highlight w:val="none"/>
          <w:lang w:val="en-US" w:eastAsia="zh-CN"/>
        </w:rPr>
      </w:pPr>
    </w:p>
    <w:p>
      <w:pPr>
        <w:pStyle w:val="style0"/>
        <w:spacing w:lineRule="exact" w:line="560"/>
        <w:ind w:firstLine="960" w:firstLineChars="300"/>
        <w:rPr>
          <w:rFonts w:ascii="Times New Roman" w:cs="Times New Roman" w:eastAsia="仿宋_GB2312" w:hAnsi="Times New Roman" w:hint="default"/>
          <w:color w:val="auto"/>
          <w:sz w:val="32"/>
          <w:szCs w:val="32"/>
          <w:highlight w:val="none"/>
        </w:rPr>
      </w:pPr>
    </w:p>
    <w:p>
      <w:pPr>
        <w:pStyle w:val="style0"/>
        <w:spacing w:lineRule="exact" w:line="560"/>
        <w:ind w:firstLine="960" w:firstLineChars="300"/>
        <w:rPr>
          <w:rFonts w:ascii="Times New Roman" w:cs="Times New Roman" w:eastAsia="仿宋_GB2312" w:hAnsi="Times New Roman" w:hint="default"/>
          <w:color w:val="auto"/>
          <w:sz w:val="32"/>
          <w:szCs w:val="32"/>
          <w:highlight w:val="none"/>
        </w:rPr>
      </w:pPr>
    </w:p>
    <w:p>
      <w:pPr>
        <w:pStyle w:val="style0"/>
        <w:spacing w:lineRule="exact" w:line="560"/>
        <w:ind w:firstLine="960" w:firstLineChars="300"/>
        <w:rPr>
          <w:rFonts w:ascii="Times New Roman" w:cs="Times New Roman" w:eastAsia="仿宋_GB2312" w:hAnsi="Times New Roman" w:hint="default"/>
          <w:color w:val="auto"/>
          <w:sz w:val="32"/>
          <w:szCs w:val="32"/>
          <w:highlight w:val="none"/>
        </w:rPr>
      </w:pPr>
    </w:p>
    <w:p>
      <w:pPr>
        <w:pStyle w:val="style0"/>
        <w:spacing w:lineRule="exact" w:line="560"/>
        <w:ind w:firstLine="960" w:firstLineChars="300"/>
        <w:rPr>
          <w:rFonts w:ascii="Times New Roman" w:cs="Times New Roman" w:eastAsia="仿宋_GB2312" w:hAnsi="Times New Roman" w:hint="default"/>
          <w:color w:val="auto"/>
          <w:sz w:val="32"/>
          <w:szCs w:val="32"/>
          <w:highlight w:val="none"/>
        </w:rPr>
      </w:pPr>
      <w:r>
        <w:rPr>
          <w:rFonts w:ascii="Times New Roman" w:cs="Times New Roman" w:eastAsia="仿宋_GB2312" w:hAnsi="Times New Roman" w:hint="default"/>
          <w:color w:val="auto"/>
          <w:sz w:val="32"/>
          <w:szCs w:val="32"/>
          <w:highlight w:val="none"/>
        </w:rPr>
        <w:t xml:space="preserve">自治区市场监管局 </w:t>
      </w:r>
      <w:r>
        <w:rPr>
          <w:rFonts w:ascii="Times New Roman" w:cs="Times New Roman" w:eastAsia="仿宋_GB2312" w:hAnsi="Times New Roman" w:hint="eastAsia"/>
          <w:color w:val="auto"/>
          <w:sz w:val="32"/>
          <w:szCs w:val="32"/>
          <w:highlight w:val="none"/>
          <w:lang w:val="en-US" w:eastAsia="zh-CN"/>
        </w:rPr>
        <w:t xml:space="preserve">            </w:t>
      </w:r>
      <w:r>
        <w:rPr>
          <w:rFonts w:ascii="Times New Roman" w:cs="Times New Roman" w:eastAsia="仿宋_GB2312" w:hAnsi="Times New Roman" w:hint="default"/>
          <w:color w:val="auto"/>
          <w:sz w:val="32"/>
          <w:szCs w:val="32"/>
          <w:highlight w:val="none"/>
        </w:rPr>
        <w:t>自治区财政厅</w:t>
      </w:r>
    </w:p>
    <w:p>
      <w:pPr>
        <w:pStyle w:val="style0"/>
        <w:spacing w:lineRule="exact" w:line="560"/>
        <w:ind w:firstLine="5440" w:firstLineChars="1700"/>
        <w:rPr>
          <w:rFonts w:ascii="Times New Roman" w:cs="Times New Roman" w:eastAsia="仿宋_GB2312" w:hAnsi="Times New Roman" w:hint="eastAsia"/>
          <w:color w:val="auto"/>
          <w:sz w:val="32"/>
          <w:szCs w:val="32"/>
          <w:highlight w:val="none"/>
          <w:lang w:val="en-US" w:eastAsia="zh-CN"/>
        </w:rPr>
      </w:pPr>
      <w:r>
        <w:rPr>
          <w:rFonts w:ascii="Times New Roman" w:cs="Times New Roman" w:eastAsia="仿宋_GB2312" w:hAnsi="Times New Roman" w:hint="eastAsia"/>
          <w:color w:val="auto"/>
          <w:sz w:val="32"/>
          <w:szCs w:val="32"/>
          <w:highlight w:val="none"/>
          <w:lang w:val="en-US" w:eastAsia="zh-CN"/>
        </w:rPr>
        <w:t>2022年11月2日</w:t>
      </w:r>
    </w:p>
    <w:p>
      <w:pPr>
        <w:pStyle w:val="style0"/>
        <w:spacing w:lineRule="exact" w:line="560"/>
        <w:ind w:firstLine="640" w:firstLineChars="200"/>
        <w:rPr>
          <w:rFonts w:ascii="Times New Roman" w:cs="Times New Roman" w:eastAsia="仿宋_GB2312" w:hAnsi="Times New Roman" w:hint="default"/>
          <w:color w:val="auto"/>
          <w:sz w:val="32"/>
          <w:szCs w:val="32"/>
          <w:highlight w:val="none"/>
          <w:lang w:val="en-US" w:eastAsia="zh-CN"/>
        </w:rPr>
      </w:pPr>
      <w:r>
        <w:rPr>
          <w:rFonts w:ascii="Times New Roman" w:cs="Times New Roman" w:eastAsia="仿宋_GB2312" w:hAnsi="Times New Roman" w:hint="eastAsia"/>
          <w:color w:val="auto"/>
          <w:sz w:val="32"/>
          <w:szCs w:val="32"/>
          <w:highlight w:val="none"/>
          <w:lang w:val="en-US" w:eastAsia="zh-CN"/>
        </w:rPr>
        <w:t>（此件公开发布）</w:t>
      </w:r>
    </w:p>
    <w:p>
      <w:pPr>
        <w:pStyle w:val="style0"/>
        <w:rPr>
          <w:rStyle w:val="style0"/>
        </w:rPr>
        <w:sectPr>
          <w:headerReference w:type="default" r:id="rId2"/>
          <w:footerReference w:type="default" r:id="rId3"/>
          <w:pgSz w:w="11906" w:h="16838" w:orient="portrait"/>
          <w:pgMar w:top="2098" w:right="1474" w:bottom="1984" w:left="1587" w:header="851" w:footer="992" w:gutter="0"/>
          <w:pgNumType w:fmt="numberInDash"/>
          <w:docGrid w:type="lines" w:linePitch="312" w:charSpace="0"/>
        </w:sect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rPr>
          <w:rFonts w:ascii="Times New Roman" w:cs="Times New Roman" w:hAnsi="Times New Roman" w:hint="default"/>
        </w:rPr>
      </w:pPr>
    </w:p>
    <w:p>
      <w:pPr>
        <w:pStyle w:val="style0"/>
        <w:ind w:firstLine="140" w:firstLineChars="50"/>
        <w:rPr>
          <w:rFonts w:ascii="Times New Roman" w:cs="Times New Roman" w:eastAsia="仿宋_GB2312" w:hAnsi="Times New Roman" w:hint="default"/>
          <w:sz w:val="28"/>
          <w:szCs w:val="28"/>
        </w:rPr>
      </w:pPr>
    </w:p>
    <w:p>
      <w:pPr>
        <w:pStyle w:val="style0"/>
        <w:ind w:firstLine="140" w:firstLineChars="50"/>
        <w:rPr>
          <w:rFonts w:ascii="Times New Roman" w:cs="Times New Roman" w:eastAsia="仿宋_GB2312" w:hAnsi="Times New Roman" w:hint="default"/>
          <w:sz w:val="28"/>
          <w:szCs w:val="28"/>
        </w:rPr>
      </w:pPr>
    </w:p>
    <w:p>
      <w:pPr>
        <w:pStyle w:val="style0"/>
        <w:ind w:firstLine="140" w:firstLineChars="50"/>
        <w:rPr>
          <w:rFonts w:ascii="Times New Roman" w:cs="Times New Roman" w:eastAsia="仿宋_GB2312" w:hAnsi="Times New Roman" w:hint="default"/>
          <w:sz w:val="28"/>
          <w:szCs w:val="28"/>
        </w:rPr>
      </w:pPr>
    </w:p>
    <w:p>
      <w:pPr>
        <w:pStyle w:val="style0"/>
        <w:ind w:firstLine="140" w:firstLineChars="50"/>
        <w:rPr>
          <w:rFonts w:ascii="Times New Roman" w:cs="Times New Roman" w:eastAsia="仿宋_GB2312" w:hAnsi="Times New Roman" w:hint="default"/>
          <w:sz w:val="28"/>
          <w:szCs w:val="28"/>
        </w:rPr>
      </w:pPr>
    </w:p>
    <w:p>
      <w:pPr>
        <w:pStyle w:val="style0"/>
        <w:ind w:firstLine="140" w:firstLineChars="50"/>
        <w:rPr>
          <w:rFonts w:ascii="Times New Roman" w:cs="Times New Roman" w:eastAsia="仿宋_GB2312" w:hAnsi="Times New Roman" w:hint="default"/>
          <w:sz w:val="28"/>
          <w:szCs w:val="28"/>
        </w:rPr>
      </w:pPr>
    </w:p>
    <w:p>
      <w:pPr>
        <w:pStyle w:val="style0"/>
        <w:ind w:firstLine="140" w:firstLineChars="50"/>
        <w:rPr>
          <w:rFonts w:ascii="Times New Roman" w:cs="Times New Roman" w:eastAsia="仿宋_GB2312" w:hAnsi="Times New Roman" w:hint="default"/>
          <w:sz w:val="28"/>
          <w:szCs w:val="28"/>
        </w:rPr>
      </w:pPr>
    </w:p>
    <w:p>
      <w:pPr>
        <w:pStyle w:val="style0"/>
        <w:ind w:firstLine="140" w:firstLineChars="50"/>
        <w:rPr>
          <w:rFonts w:ascii="Times New Roman" w:cs="Times New Roman" w:eastAsia="仿宋_GB2312" w:hAnsi="Times New Roman" w:hint="default"/>
          <w:sz w:val="28"/>
          <w:szCs w:val="28"/>
        </w:rPr>
      </w:pPr>
    </w:p>
    <w:p>
      <w:pPr>
        <w:pStyle w:val="style0"/>
        <w:pBdr>
          <w:top w:val="single" w:sz="12" w:space="1" w:color="auto"/>
          <w:bottom w:val="single" w:sz="12" w:space="1" w:color="auto"/>
        </w:pBdr>
        <w:rPr>
          <w:rFonts w:ascii="Times New Roman" w:cs="Times New Roman" w:eastAsia="仿宋_GB2312" w:hAnsi="Times New Roman" w:hint="default"/>
          <w:sz w:val="32"/>
        </w:rPr>
      </w:pPr>
      <w:r>
        <w:rPr>
          <w:rFonts w:ascii="Times New Roman" w:cs="Times New Roman" w:eastAsia="仿宋_GB2312" w:hAnsi="Times New Roman" w:hint="default"/>
          <w:sz w:val="28"/>
          <w:szCs w:val="28"/>
        </w:rPr>
        <w:t xml:space="preserve"> 广西壮族自治区市场监督管理局办公室 </w:t>
      </w:r>
      <w:r>
        <w:rPr>
          <w:rFonts w:ascii="Times New Roman" w:cs="Times New Roman" w:eastAsia="仿宋_GB2312" w:hAnsi="Times New Roman" w:hint="eastAsia"/>
          <w:sz w:val="28"/>
          <w:szCs w:val="28"/>
          <w:lang w:val="en-US" w:eastAsia="zh-CN"/>
        </w:rPr>
        <w:t xml:space="preserve"> </w:t>
      </w:r>
      <w:r>
        <w:rPr>
          <w:rFonts w:ascii="Times New Roman" w:cs="Times New Roman" w:eastAsia="仿宋_GB2312" w:hAnsi="Times New Roman" w:hint="default"/>
          <w:sz w:val="28"/>
          <w:szCs w:val="28"/>
        </w:rPr>
        <w:t xml:space="preserve">      20</w:t>
      </w:r>
      <w:r>
        <w:rPr>
          <w:rFonts w:ascii="Times New Roman" w:cs="Times New Roman" w:eastAsia="仿宋_GB2312" w:hAnsi="Times New Roman" w:hint="default"/>
          <w:sz w:val="28"/>
          <w:szCs w:val="28"/>
          <w:lang w:val="en-US" w:eastAsia="zh-CN"/>
        </w:rPr>
        <w:t>2</w:t>
      </w:r>
      <w:r>
        <w:rPr>
          <w:rFonts w:ascii="Times New Roman" w:cs="Times New Roman" w:eastAsia="仿宋_GB2312" w:hAnsi="Times New Roman" w:hint="eastAsia"/>
          <w:sz w:val="28"/>
          <w:szCs w:val="28"/>
          <w:lang w:val="en-US" w:eastAsia="zh-CN"/>
        </w:rPr>
        <w:t>2</w:t>
      </w:r>
      <w:r>
        <w:rPr>
          <w:rFonts w:ascii="Times New Roman" w:cs="Times New Roman" w:eastAsia="仿宋_GB2312" w:hAnsi="Times New Roman" w:hint="default"/>
          <w:sz w:val="28"/>
          <w:szCs w:val="28"/>
        </w:rPr>
        <w:t>年</w:t>
      </w:r>
      <w:r>
        <w:rPr>
          <w:rFonts w:ascii="Times New Roman" w:cs="Times New Roman" w:eastAsia="仿宋_GB2312" w:hAnsi="Times New Roman" w:hint="eastAsia"/>
          <w:sz w:val="28"/>
          <w:szCs w:val="28"/>
          <w:lang w:val="en-US" w:eastAsia="zh-CN"/>
        </w:rPr>
        <w:t>11</w:t>
      </w:r>
      <w:r>
        <w:rPr>
          <w:rFonts w:ascii="Times New Roman" w:cs="Times New Roman" w:eastAsia="仿宋_GB2312" w:hAnsi="Times New Roman" w:hint="default"/>
          <w:sz w:val="28"/>
          <w:szCs w:val="28"/>
        </w:rPr>
        <w:t>月</w:t>
      </w:r>
      <w:r>
        <w:rPr>
          <w:rFonts w:ascii="Times New Roman" w:cs="Times New Roman" w:eastAsia="仿宋_GB2312" w:hAnsi="Times New Roman" w:hint="eastAsia"/>
          <w:sz w:val="28"/>
          <w:szCs w:val="28"/>
          <w:lang w:val="en-US" w:eastAsia="zh-CN"/>
        </w:rPr>
        <w:t>2</w:t>
      </w:r>
      <w:r>
        <w:rPr>
          <w:rFonts w:ascii="Times New Roman" w:cs="Times New Roman" w:eastAsia="仿宋_GB2312" w:hAnsi="Times New Roman" w:hint="default"/>
          <w:sz w:val="28"/>
          <w:szCs w:val="28"/>
        </w:rPr>
        <w:t>日印发</w:t>
      </w:r>
      <w:bookmarkStart w:id="0" w:name="CONTENT"/>
      <w:bookmarkEnd w:id="0"/>
    </w:p>
    <w:p>
      <w:pPr>
        <w:pStyle w:val="style0"/>
        <w:rPr>
          <w:rStyle w:val="style0"/>
        </w:rPr>
      </w:pPr>
    </w:p>
    <w:sectPr>
      <w:footerReference w:type="even" r:id="rId4"/>
      <w:footerReference w:type="default" r:id="rId5"/>
      <w:type w:val="nextPage"/>
      <w:pgSz w:w="11906" w:h="16838" w:orient="portrait"/>
      <w:pgMar w:top="2098" w:right="1474" w:bottom="1984" w:left="1587" w:header="851" w:footer="992" w:gutter="0"/>
      <w:pgNumType w:fmt="numberInDash"/>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5020304"/>
    <w:charset w:val="00"/>
    <w:family w:val="roman"/>
    <w:pitch w:val="variable"/>
    <w:sig w:usb0="20007A87" w:usb1="80000000" w:usb2="00000008" w:usb3="00000000" w:csb0="000001FF" w:csb1="00000000"/>
  </w:font>
  <w:font w:name="宋体">
    <w:altName w:val="宋体"/>
    <w:panose1 w:val="02010600030001010101"/>
    <w:charset w:val="7a"/>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Calibri">
    <w:altName w:val="Calibri"/>
    <w:panose1 w:val="020f0502020004030204"/>
    <w:charset w:val="00"/>
    <w:family w:val="swiss"/>
    <w:pitch w:val="default"/>
    <w:sig w:usb0="E00002FF" w:usb1="4000ACFF" w:usb2="00000001" w:usb3="00000000" w:csb0="2000019F" w:csb1="00000000"/>
  </w:font>
  <w:font w:name="仿宋_GB2312">
    <w:altName w:val="仿宋_GB2312"/>
    <w:panose1 w:val="02010609030001010101"/>
    <w:charset w:val="7a"/>
    <w:family w:val="auto"/>
    <w:pitch w:val="default"/>
    <w:sig w:usb0="00000001" w:usb1="080E0000" w:usb2="00000000" w:usb3="00000000" w:csb0="00040000" w:csb1="00000000"/>
  </w:font>
  <w:font w:name="方正小标宋简体">
    <w:altName w:val="方正小标宋简体"/>
    <w:panose1 w:val="03000509000000000000"/>
    <w:charset w:val="7a"/>
    <w:family w:val="auto"/>
    <w:pitch w:val="default"/>
    <w:sig w:usb0="00000001" w:usb1="080E0000" w:usb2="00000000" w:usb3="00000000" w:csb0="00040000"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tabs>
        <w:tab w:val="clear" w:pos="4153"/>
        <w:tab w:val="clear" w:pos="8306"/>
      </w:tabs>
      <w:rPr/>
    </w:pPr>
    <w:r>
      <w:rPr>
        <w:sz w:val="18"/>
      </w:rPr>
      <mc:AlternateContent>
        <mc:Choice Requires="wps">
          <w:drawing>
            <wp:anchor distT="0" distB="0" distL="0" distR="0" simplePos="false" relativeHeight="2" behindDoc="false" locked="false" layoutInCell="true" allowOverlap="true">
              <wp:simplePos x="0" y="0"/>
              <wp:positionH relativeFrom="margin">
                <wp:align>outside</wp:align>
              </wp:positionH>
              <wp:positionV relativeFrom="paragraph">
                <wp14:pctPosVOffset>0</wp14:pctPosVOffset>
              </wp:positionV>
              <wp:extent cx="1828800" cy="1828800"/>
              <wp:effectExtent l="0" t="0" r="0" b="0"/>
              <wp:wrapNone/>
              <wp:docPr id="2049"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avLst/>
                      </a:prstGeom>
                    </wps:spPr>
                    <wps:txbx id="2049">
                      <w:txbxContent>
                        <w:p>
                          <w:pPr>
                            <w:pStyle w:val="style32"/>
                            <w:tabs>
                              <w:tab w:val="clear" w:pos="4153"/>
                              <w:tab w:val="clear" w:pos="8306"/>
                            </w:tabs>
                            <w:rPr>
                              <w:rFonts w:eastAsia="宋体" w:hint="eastAsia"/>
                              <w:lang w:eastAsia="zh-CN"/>
                            </w:rPr>
                          </w:pPr>
                          <w:r>
                            <w:rPr>
                              <w:rFonts w:ascii="宋体" w:cs="宋体" w:eastAsia="宋体" w:hAnsi="宋体" w:hint="eastAsia"/>
                              <w:sz w:val="28"/>
                              <w:szCs w:val="28"/>
                              <w:lang w:eastAsia="zh-CN"/>
                            </w:rPr>
                            <w:fldChar w:fldCharType="begin"/>
                          </w:r>
                          <w:r>
                            <w:rPr>
                              <w:rFonts w:ascii="宋体" w:cs="宋体" w:eastAsia="宋体" w:hAnsi="宋体" w:hint="eastAsia"/>
                              <w:sz w:val="28"/>
                              <w:szCs w:val="28"/>
                              <w:lang w:eastAsia="zh-CN"/>
                            </w:rPr>
                            <w:instrText xml:space="preserve"> PAGE  \* MERGEFORMAT </w:instrText>
                          </w:r>
                          <w:r>
                            <w:rPr>
                              <w:rFonts w:ascii="宋体" w:cs="宋体" w:eastAsia="宋体" w:hAnsi="宋体" w:hint="eastAsia"/>
                              <w:sz w:val="28"/>
                              <w:szCs w:val="28"/>
                              <w:lang w:eastAsia="zh-CN"/>
                            </w:rPr>
                            <w:fldChar w:fldCharType="separate"/>
                          </w:r>
                          <w:r>
                            <w:rPr>
                              <w:rFonts w:ascii="宋体" w:cs="宋体" w:eastAsia="宋体" w:hAnsi="宋体" w:hint="eastAsia"/>
                              <w:sz w:val="28"/>
                              <w:szCs w:val="28"/>
                              <w:lang w:eastAsia="zh-CN"/>
                            </w:rPr>
                            <w:t>1</w:t>
                          </w:r>
                          <w:r>
                            <w:rPr>
                              <w:rFonts w:ascii="宋体" w:cs="宋体" w:eastAsia="宋体" w:hAnsi="宋体" w:hint="eastAsia"/>
                              <w:sz w:val="28"/>
                              <w:szCs w:val="28"/>
                              <w:lang w:eastAsia="zh-CN"/>
                            </w:rPr>
                            <w:fldChar w:fldCharType="end"/>
                          </w:r>
                        </w:p>
                      </w:txbxContent>
                    </wps:txbx>
                    <wps:bodyPr lIns="0" rIns="0" tIns="0" bIns="0" vert="horz" anchor="t" wrap="none" upright="true">
                      <a:spAutoFit/>
                    </wps:bodyPr>
                  </wps:wsp>
                </a:graphicData>
              </a:graphic>
            </wp:anchor>
          </w:drawing>
        </mc:Choice>
        <mc:Fallback>
          <w:pict>
            <v:shapetype id="_x0000_t202" coordsize="21600,21600" o:spt="202" path="m,l,21600r21600,l21600,xe">
              <v:stroke joinstyle="miter"/>
              <v:path gradientshapeok="t" o:connecttype="rect"/>
            </v:shapetype>
            <v:shape id="2049" type="#_x0000_t202" adj=",,,,,,,," filled="f" stroked="f" style="position:absolute;margin-left:0.0pt;margin-top:0.0pt;width:144.0pt;height:144.0pt;z-index:2;mso-position-horizontal:outside;mso-position-horizontal-relative:margin;mso-position-vertical-relative:text;mso-width-relative:page;mso-height-relative:page;mso-wrap-distance-left:0.0pt;mso-wrap-distance-right:0.0pt;visibility:visible;mso-wrap-style:none;">
              <v:fill o:detectmouseclick="true"/>
              <v:textbox inset="0.0pt,0.0pt,0.0pt,0.0pt" style="mso-fit-shape-to-text:true;">
                <w:txbxContent>
                  <w:p>
                    <w:pPr>
                      <w:pStyle w:val="style32"/>
                      <w:tabs>
                        <w:tab w:val="clear" w:pos="4153"/>
                        <w:tab w:val="clear" w:pos="8306"/>
                      </w:tabs>
                      <w:rPr>
                        <w:rFonts w:eastAsia="宋体" w:hint="eastAsia"/>
                        <w:lang w:eastAsia="zh-CN"/>
                      </w:rPr>
                    </w:pPr>
                    <w:r>
                      <w:rPr>
                        <w:rFonts w:ascii="宋体" w:cs="宋体" w:eastAsia="宋体" w:hAnsi="宋体" w:hint="eastAsia"/>
                        <w:sz w:val="28"/>
                        <w:szCs w:val="28"/>
                        <w:lang w:eastAsia="zh-CN"/>
                      </w:rPr>
                      <w:fldChar w:fldCharType="begin"/>
                    </w:r>
                    <w:r>
                      <w:rPr>
                        <w:rFonts w:ascii="宋体" w:cs="宋体" w:eastAsia="宋体" w:hAnsi="宋体" w:hint="eastAsia"/>
                        <w:sz w:val="28"/>
                        <w:szCs w:val="28"/>
                        <w:lang w:eastAsia="zh-CN"/>
                      </w:rPr>
                      <w:instrText xml:space="preserve"> PAGE  \* MERGEFORMAT </w:instrText>
                    </w:r>
                    <w:r>
                      <w:rPr>
                        <w:rFonts w:ascii="宋体" w:cs="宋体" w:eastAsia="宋体" w:hAnsi="宋体" w:hint="eastAsia"/>
                        <w:sz w:val="28"/>
                        <w:szCs w:val="28"/>
                        <w:lang w:eastAsia="zh-CN"/>
                      </w:rPr>
                      <w:fldChar w:fldCharType="separate"/>
                    </w:r>
                    <w:r>
                      <w:rPr>
                        <w:rFonts w:ascii="宋体" w:cs="宋体" w:eastAsia="宋体" w:hAnsi="宋体" w:hint="eastAsia"/>
                        <w:sz w:val="28"/>
                        <w:szCs w:val="28"/>
                        <w:lang w:eastAsia="zh-CN"/>
                      </w:rPr>
                      <w:t>1</w:t>
                    </w:r>
                    <w:r>
                      <w:rPr>
                        <w:rFonts w:ascii="宋体" w:cs="宋体" w:eastAsia="宋体" w:hAnsi="宋体" w:hint="eastAsia"/>
                        <w:sz w:val="28"/>
                        <w:szCs w:val="28"/>
                        <w:lang w:eastAsia="zh-CN"/>
                      </w:rPr>
                      <w:fldChar w:fldCharType="end"/>
                    </w:r>
                  </w:p>
                </w:txbxContent>
              </v:textbox>
            </v:shape>
          </w:pict>
        </mc:Fallback>
      </mc:AlternateContent>
    </w:r>
  </w:p>
</w:ftr>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framePr w:wrap="around" w:hAnchor="margin" w:vAnchor="text" w:xAlign="outside" w:y="1"/>
      <w:tabs>
        <w:tab w:val="clear" w:pos="4153"/>
        <w:tab w:val="clear" w:pos="8306"/>
      </w:tabs>
      <w:rPr>
        <w:rStyle w:val="style41"/>
      </w:rPr>
    </w:pPr>
    <w:r>
      <w:fldChar w:fldCharType="begin"/>
    </w:r>
    <w:r>
      <w:rPr>
        <w:rStyle w:val="style41"/>
      </w:rPr>
      <w:instrText xml:space="preserve">PAGE  </w:instrText>
    </w:r>
    <w:r>
      <w:fldChar w:fldCharType="end"/>
    </w:r>
  </w:p>
  <w:p>
    <w:pPr>
      <w:pStyle w:val="style32"/>
      <w:tabs>
        <w:tab w:val="clear" w:pos="4153"/>
        <w:tab w:val="clear" w:pos="8306"/>
      </w:tabs>
      <w:ind w:right="360" w:firstLine="360"/>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tabs>
        <w:tab w:val="clear" w:pos="4153"/>
        <w:tab w:val="clear" w:pos="8306"/>
      </w:tabs>
      <w:ind w:right="360" w:firstLine="360"/>
      <w:rPr/>
    </w:pPr>
    <w:r>
      <w:rPr>
        <w:sz w:val="18"/>
      </w:rPr>
      <mc:AlternateContent>
        <mc:Choice Requires="wps">
          <w:drawing>
            <wp:anchor distT="0" distB="0" distL="0" distR="0" simplePos="false" relativeHeight="3" behindDoc="false" locked="false" layoutInCell="true" allowOverlap="true">
              <wp:simplePos x="0" y="0"/>
              <wp:positionH relativeFrom="margin">
                <wp:align>outside</wp:align>
              </wp:positionH>
              <wp:positionV relativeFrom="paragraph">
                <wp14:pctPosVOffset>0</wp14:pctPosVOffset>
              </wp:positionV>
              <wp:extent cx="1828800" cy="1828800"/>
              <wp:effectExtent l="0" t="0" r="0" b="0"/>
              <wp:wrapNone/>
              <wp:docPr id="2050"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avLst/>
                      </a:prstGeom>
                    </wps:spPr>
                    <wps:txbx id="2050">
                      <w:txbxContent>
                        <w:p>
                          <w:pPr>
                            <w:pStyle w:val="style32"/>
                            <w:tabs>
                              <w:tab w:val="clear" w:pos="4153"/>
                              <w:tab w:val="clear" w:pos="8306"/>
                            </w:tabs>
                            <w:rPr>
                              <w:rFonts w:eastAsia="宋体" w:hint="eastAsia"/>
                              <w:lang w:eastAsia="zh-CN"/>
                            </w:rPr>
                          </w:pPr>
                          <w:r>
                            <w:rPr>
                              <w:rFonts w:ascii="宋体" w:cs="宋体" w:eastAsia="宋体" w:hAnsi="宋体" w:hint="eastAsia"/>
                              <w:sz w:val="28"/>
                              <w:szCs w:val="28"/>
                              <w:lang w:eastAsia="zh-CN"/>
                            </w:rPr>
                            <w:fldChar w:fldCharType="begin"/>
                          </w:r>
                          <w:r>
                            <w:rPr>
                              <w:rFonts w:ascii="宋体" w:cs="宋体" w:eastAsia="宋体" w:hAnsi="宋体" w:hint="eastAsia"/>
                              <w:sz w:val="28"/>
                              <w:szCs w:val="28"/>
                              <w:lang w:eastAsia="zh-CN"/>
                            </w:rPr>
                            <w:instrText xml:space="preserve"> PAGE  \* MERGEFORMAT </w:instrText>
                          </w:r>
                          <w:r>
                            <w:rPr>
                              <w:rFonts w:ascii="宋体" w:cs="宋体" w:eastAsia="宋体" w:hAnsi="宋体" w:hint="eastAsia"/>
                              <w:sz w:val="28"/>
                              <w:szCs w:val="28"/>
                              <w:lang w:eastAsia="zh-CN"/>
                            </w:rPr>
                            <w:fldChar w:fldCharType="separate"/>
                          </w:r>
                          <w:r>
                            <w:rPr>
                              <w:rFonts w:ascii="宋体" w:cs="宋体" w:eastAsia="宋体" w:hAnsi="宋体" w:hint="eastAsia"/>
                              <w:sz w:val="28"/>
                              <w:szCs w:val="28"/>
                              <w:lang w:eastAsia="zh-CN"/>
                            </w:rPr>
                            <w:t>- 4 -</w:t>
                          </w:r>
                          <w:r>
                            <w:rPr>
                              <w:rFonts w:ascii="宋体" w:cs="宋体" w:eastAsia="宋体" w:hAnsi="宋体" w:hint="eastAsia"/>
                              <w:sz w:val="28"/>
                              <w:szCs w:val="28"/>
                              <w:lang w:eastAsia="zh-CN"/>
                            </w:rPr>
                            <w:fldChar w:fldCharType="end"/>
                          </w:r>
                        </w:p>
                      </w:txbxContent>
                    </wps:txbx>
                    <wps:bodyPr lIns="0" rIns="0" tIns="0" bIns="0" vert="horz" anchor="t" wrap="none" upright="true">
                      <a:spAutoFit/>
                    </wps:bodyPr>
                  </wps:wsp>
                </a:graphicData>
              </a:graphic>
            </wp:anchor>
          </w:drawing>
        </mc:Choice>
        <mc:Fallback>
          <w:pict>
            <v:shapetype id="_x0000_t202" coordsize="21600,21600" o:spt="202" path="m,l,21600r21600,l21600,xe">
              <v:stroke joinstyle="miter"/>
              <v:path gradientshapeok="t" o:connecttype="rect"/>
            </v:shapetype>
            <v:shape id="2050" type="#_x0000_t202" adj=",,,,,,,," filled="f" stroked="f" style="position:absolute;margin-left:0.0pt;margin-top:0.0pt;width:144.0pt;height:144.0pt;z-index:3;mso-position-horizontal:outside;mso-position-horizontal-relative:margin;mso-position-vertical-relative:text;mso-width-relative:page;mso-height-relative:page;mso-wrap-distance-left:0.0pt;mso-wrap-distance-right:0.0pt;visibility:visible;mso-wrap-style:none;">
              <v:fill o:detectmouseclick="true"/>
              <v:textbox inset="0.0pt,0.0pt,0.0pt,0.0pt" style="mso-fit-shape-to-text:true;">
                <w:txbxContent>
                  <w:p>
                    <w:pPr>
                      <w:pStyle w:val="style32"/>
                      <w:tabs>
                        <w:tab w:val="clear" w:pos="4153"/>
                        <w:tab w:val="clear" w:pos="8306"/>
                      </w:tabs>
                      <w:rPr>
                        <w:rFonts w:eastAsia="宋体" w:hint="eastAsia"/>
                        <w:lang w:eastAsia="zh-CN"/>
                      </w:rPr>
                    </w:pPr>
                    <w:r>
                      <w:rPr>
                        <w:rFonts w:ascii="宋体" w:cs="宋体" w:eastAsia="宋体" w:hAnsi="宋体" w:hint="eastAsia"/>
                        <w:sz w:val="28"/>
                        <w:szCs w:val="28"/>
                        <w:lang w:eastAsia="zh-CN"/>
                      </w:rPr>
                      <w:fldChar w:fldCharType="begin"/>
                    </w:r>
                    <w:r>
                      <w:rPr>
                        <w:rFonts w:ascii="宋体" w:cs="宋体" w:eastAsia="宋体" w:hAnsi="宋体" w:hint="eastAsia"/>
                        <w:sz w:val="28"/>
                        <w:szCs w:val="28"/>
                        <w:lang w:eastAsia="zh-CN"/>
                      </w:rPr>
                      <w:instrText xml:space="preserve"> PAGE  \* MERGEFORMAT </w:instrText>
                    </w:r>
                    <w:r>
                      <w:rPr>
                        <w:rFonts w:ascii="宋体" w:cs="宋体" w:eastAsia="宋体" w:hAnsi="宋体" w:hint="eastAsia"/>
                        <w:sz w:val="28"/>
                        <w:szCs w:val="28"/>
                        <w:lang w:eastAsia="zh-CN"/>
                      </w:rPr>
                      <w:fldChar w:fldCharType="separate"/>
                    </w:r>
                    <w:r>
                      <w:rPr>
                        <w:rFonts w:ascii="宋体" w:cs="宋体" w:eastAsia="宋体" w:hAnsi="宋体" w:hint="eastAsia"/>
                        <w:sz w:val="28"/>
                        <w:szCs w:val="28"/>
                        <w:lang w:eastAsia="zh-CN"/>
                      </w:rPr>
                      <w:t>- 4 -</w:t>
                    </w:r>
                    <w:r>
                      <w:rPr>
                        <w:rFonts w:ascii="宋体" w:cs="宋体" w:eastAsia="宋体" w:hAnsi="宋体" w:hint="eastAsia"/>
                        <w:sz w:val="28"/>
                        <w:szCs w:val="28"/>
                        <w:lang w:eastAsia="zh-CN"/>
                      </w:rPr>
                      <w:fldChar w:fldCharType="end"/>
                    </w:r>
                  </w:p>
                </w:txbxContent>
              </v:textbox>
            </v:shape>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0" w:color="auto"/>
      </w:pBdr>
      <w:tabs>
        <w:tab w:val="clear" w:pos="4153"/>
        <w:tab w:val="clear" w:pos="8306"/>
      </w:tab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view w:val="print"/>
  <w:zoom w:percent="7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trackRevisions/>
  <w:doNotTrackMoves/>
  <w:doNotTrackFormatting/>
  <w:documentProtection w:formatting="0" w:enforcement="0"/>
  <w:defaultTabStop w:val="420"/>
  <w:bookFoldPrintingSheets w:val="0"/>
  <w:drawingGridHorizontalSpacing w:val="180"/>
  <w:drawingGridVerticalSpacing w:val="156"/>
  <w:displayHorizontalDrawingGridEvery w:val="1"/>
  <w:displayVerticalDrawingGridEvery w:val="1"/>
  <w:drawingGridHorizontalOrigin w:val="1587"/>
  <w:drawingGridVerticalOrigin w:val="2098"/>
  <w:noPunctuationKerning/>
  <w:characterSpacingControl w:val="compressPunctuation"/>
  <w:endnotePr>
    <w:pos w:val="docEnd"/>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pPr>
      <w:widowControl w:val="false"/>
      <w:jc w:val="both"/>
    </w:pPr>
    <w:rPr>
      <w:rFonts w:ascii="Calibri" w:cs="Times New Roman" w:eastAsia="宋体" w:hAnsi="Calibri"/>
      <w:kern w:val="2"/>
      <w:sz w:val="21"/>
      <w:szCs w:val="24"/>
      <w:lang w:val="en-US" w:bidi="ar-SA" w:eastAsia="zh-CN"/>
    </w:rPr>
  </w:style>
  <w:style w:type="paragraph" w:styleId="style31">
    <w:name w:val="header"/>
    <w:basedOn w:val="style0"/>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spacing w:beforeAutospacing="false" w:afterAutospacing="false" w:lineRule="auto" w:line="240"/>
      <w:jc w:val="both"/>
      <w:outlineLvl w:val="9"/>
    </w:pPr>
    <w:rPr>
      <w:sz w:val="18"/>
    </w:rPr>
  </w:style>
  <w:style w:type="paragraph" w:styleId="style32">
    <w:name w:val="footer"/>
    <w:basedOn w:val="style0"/>
    <w:pPr>
      <w:tabs>
        <w:tab w:val="center" w:leader="none" w:pos="4153"/>
        <w:tab w:val="right" w:leader="none" w:pos="8306"/>
      </w:tabs>
      <w:snapToGrid w:val="false"/>
      <w:jc w:val="left"/>
    </w:pPr>
    <w:rPr>
      <w:sz w:val="18"/>
    </w:rPr>
  </w:style>
  <w:style w:type="character" w:default="1" w:styleId="style65">
    <w:name w:val="Default Paragraph Font"/>
  </w:style>
  <w:style w:type="character" w:styleId="style41">
    <w:name w:val="page number"/>
    <w:basedOn w:val="style65"/>
    <w:rPr>
      <w:rFonts w:ascii="Times New Roman" w:cs="Times New Roman" w:eastAsia="宋体" w:hAnsi="Times New Roman"/>
    </w:rPr>
  </w:style>
  <w:style w:type="table" w:default="1" w:styleId="style105">
    <w:name w:val="Normal Table"/>
    <w:pPr/>
    <w:rPr/>
    <w:tblPr>
      <w:tblStyle w:val="style105"/>
      <w:tblLayout w:type="fixed"/>
      <w:tblCellMar>
        <w:top w:w="0" w:type="dxa"/>
        <w:left w:w="108" w:type="dxa"/>
        <w:bottom w:w="0" w:type="dxa"/>
        <w:right w:w="108" w:type="dxa"/>
      </w:tblCellMar>
    </w:tblPr>
    <w:tcPr>
      <w:tcBorders/>
    </w:tcPr>
  </w:style>
  <w:style w:type="paragraph" w:customStyle="1" w:styleId="style4097">
    <w:name w:val="正文-公1"/>
    <w:basedOn w:val="style0"/>
    <w:pPr>
      <w:ind w:firstLine="200" w:firstLineChars="200"/>
      <w:jc w:val="left"/>
    </w:pPr>
    <w:rPr>
      <w:rFonts w:eastAsia="仿宋_GB2312"/>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footer" Target="footer3.xml"/><Relationship Id="rId9" Type="http://schemas.openxmlformats.org/officeDocument/2006/relationships/theme" Target="theme/theme1.xml"/><Relationship Id="rId5" Type="http://schemas.openxmlformats.org/officeDocument/2006/relationships/footer" Target="footer4.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1174</Words>
  <Pages>1</Pages>
  <Characters>1248</Characters>
  <Application>WPS Office</Application>
  <DocSecurity>0</DocSecurity>
  <Paragraphs>78</Paragraphs>
  <ScaleCrop>false</ScaleCrop>
  <LinksUpToDate>false</LinksUpToDate>
  <CharactersWithSpaces>1278</CharactersWithSpaces>
  <SharedDoc>false</SharedDoc>
  <HyperlinksChanged>false</HyperlinksChanged>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2021-09-09T08:19:00Z</dcterms:created>
  <dc:creator>文印室</dc:creator>
  <lastModifiedBy>22081212C</lastModifiedBy>
  <dcterms:modified xsi:type="dcterms:W3CDTF">2022-11-02T11:41:33Z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2fc3e8cec78249ab845c02f7a1a0b995</vt:lpwstr>
  </property>
</Properties>
</file>