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562"/>
        <w:rPr>
          <w:rFonts w:hint="eastAsia" w:eastAsia="宋体"/>
          <w:lang w:eastAsia="zh-CN"/>
        </w:rPr>
      </w:pPr>
      <w:r>
        <w:rPr>
          <w:rFonts w:hint="eastAsia"/>
        </w:rPr>
        <w:t>科学技术进步奖公示内容</w:t>
      </w:r>
      <w:r>
        <w:rPr>
          <w:rFonts w:hint="eastAsia"/>
          <w:lang w:eastAsia="zh-CN"/>
        </w:rPr>
        <w:t>（</w:t>
      </w:r>
      <w:r>
        <w:rPr>
          <w:rFonts w:ascii="宋体" w:hAnsi="宋体" w:eastAsia="宋体" w:cs="宋体"/>
          <w:i w:val="0"/>
          <w:caps w:val="0"/>
          <w:color w:val="000000"/>
          <w:spacing w:val="0"/>
          <w:sz w:val="28"/>
          <w:szCs w:val="28"/>
          <w:vertAlign w:val="baseline"/>
        </w:rPr>
        <w:t>项目情况</w:t>
      </w:r>
      <w:bookmarkStart w:id="0" w:name="_GoBack"/>
      <w:bookmarkEnd w:id="0"/>
      <w:r>
        <w:rPr>
          <w:rFonts w:hint="eastAsia"/>
          <w:lang w:eastAsia="zh-CN"/>
        </w:rPr>
        <w:t>）</w:t>
      </w:r>
    </w:p>
    <w:p>
      <w:pPr>
        <w:pStyle w:val="3"/>
      </w:pPr>
      <w:r>
        <w:rPr>
          <w:rFonts w:hint="eastAsia"/>
        </w:rPr>
        <w:t>1</w:t>
      </w:r>
      <w:r>
        <w:t>.</w:t>
      </w:r>
      <w:r>
        <w:rPr>
          <w:rFonts w:hint="eastAsia"/>
        </w:rPr>
        <w:t>项目名称</w:t>
      </w:r>
    </w:p>
    <w:p>
      <w:r>
        <w:rPr>
          <w:rFonts w:hint="eastAsia"/>
        </w:rPr>
        <w:t>漓江流域水陆交错带生态修复关键技术</w:t>
      </w:r>
    </w:p>
    <w:p>
      <w:pPr>
        <w:pStyle w:val="3"/>
      </w:pPr>
      <w:r>
        <w:rPr>
          <w:rFonts w:hint="eastAsia"/>
        </w:rPr>
        <w:t>2</w:t>
      </w:r>
      <w:r>
        <w:t>.</w:t>
      </w:r>
      <w:r>
        <w:rPr>
          <w:rFonts w:hint="eastAsia"/>
        </w:rPr>
        <w:t>提名单位（提名专家）:</w:t>
      </w:r>
    </w:p>
    <w:p>
      <w:p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pPr>
      <w:r>
        <w:rPr>
          <w:rFonts w:hint="eastAsia"/>
        </w:rPr>
        <w:t>北京林业大学</w:t>
      </w:r>
    </w:p>
    <w:p>
      <w:pPr>
        <w:pStyle w:val="3"/>
      </w:pPr>
      <w:r>
        <w:rPr>
          <w:rFonts w:hint="eastAsia"/>
        </w:rPr>
        <w:t>3</w:t>
      </w:r>
      <w:r>
        <w:t>.</w:t>
      </w:r>
      <w:r>
        <w:rPr>
          <w:rFonts w:hint="eastAsia"/>
        </w:rPr>
        <w:t>主要完成人情况（包括：排名、姓名、技术职称、工作单位、完成单位、对本项目主要科技创新的贡献）</w:t>
      </w:r>
    </w:p>
    <w:tbl>
      <w:tblPr>
        <w:tblStyle w:val="6"/>
        <w:tblW w:w="13675" w:type="dxa"/>
        <w:jc w:val="center"/>
        <w:tblLayout w:type="autofit"/>
        <w:tblCellMar>
          <w:top w:w="0" w:type="dxa"/>
          <w:left w:w="108" w:type="dxa"/>
          <w:bottom w:w="0" w:type="dxa"/>
          <w:right w:w="108" w:type="dxa"/>
        </w:tblCellMar>
      </w:tblPr>
      <w:tblGrid>
        <w:gridCol w:w="704"/>
        <w:gridCol w:w="952"/>
        <w:gridCol w:w="1000"/>
        <w:gridCol w:w="2017"/>
        <w:gridCol w:w="1347"/>
        <w:gridCol w:w="7655"/>
      </w:tblGrid>
      <w:tr>
        <w:tblPrEx>
          <w:tblCellMar>
            <w:top w:w="0" w:type="dxa"/>
            <w:left w:w="108" w:type="dxa"/>
            <w:bottom w:w="0" w:type="dxa"/>
            <w:right w:w="108" w:type="dxa"/>
          </w:tblCellMar>
        </w:tblPrEx>
        <w:trPr>
          <w:trHeight w:val="540"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b/>
                <w:bCs/>
                <w:color w:val="000000"/>
                <w:kern w:val="0"/>
                <w:sz w:val="18"/>
                <w:szCs w:val="18"/>
              </w:rPr>
            </w:pPr>
            <w:r>
              <w:rPr>
                <w:b/>
                <w:bCs/>
                <w:color w:val="000000"/>
                <w:kern w:val="0"/>
                <w:sz w:val="18"/>
                <w:szCs w:val="18"/>
              </w:rPr>
              <w:t>排名</w:t>
            </w:r>
          </w:p>
        </w:tc>
        <w:tc>
          <w:tcPr>
            <w:tcW w:w="952"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b/>
                <w:bCs/>
                <w:color w:val="000000"/>
                <w:kern w:val="0"/>
                <w:sz w:val="18"/>
                <w:szCs w:val="18"/>
              </w:rPr>
            </w:pPr>
            <w:r>
              <w:rPr>
                <w:b/>
                <w:bCs/>
                <w:color w:val="000000"/>
                <w:kern w:val="0"/>
                <w:sz w:val="18"/>
                <w:szCs w:val="18"/>
              </w:rPr>
              <w:t>姓名</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b/>
                <w:bCs/>
                <w:color w:val="000000"/>
                <w:kern w:val="0"/>
                <w:sz w:val="18"/>
                <w:szCs w:val="18"/>
              </w:rPr>
            </w:pPr>
            <w:r>
              <w:rPr>
                <w:b/>
                <w:bCs/>
                <w:color w:val="000000"/>
                <w:kern w:val="0"/>
                <w:sz w:val="18"/>
                <w:szCs w:val="18"/>
              </w:rPr>
              <w:t>技术职称</w:t>
            </w:r>
          </w:p>
        </w:tc>
        <w:tc>
          <w:tcPr>
            <w:tcW w:w="2017"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b/>
                <w:bCs/>
                <w:color w:val="000000"/>
                <w:kern w:val="0"/>
                <w:sz w:val="18"/>
                <w:szCs w:val="18"/>
              </w:rPr>
            </w:pPr>
            <w:r>
              <w:rPr>
                <w:b/>
                <w:bCs/>
                <w:color w:val="000000"/>
                <w:kern w:val="0"/>
                <w:sz w:val="18"/>
                <w:szCs w:val="18"/>
              </w:rPr>
              <w:t>工作单位</w:t>
            </w:r>
          </w:p>
        </w:tc>
        <w:tc>
          <w:tcPr>
            <w:tcW w:w="1347"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b/>
                <w:bCs/>
                <w:color w:val="000000"/>
                <w:kern w:val="0"/>
                <w:sz w:val="18"/>
                <w:szCs w:val="18"/>
              </w:rPr>
            </w:pPr>
            <w:r>
              <w:rPr>
                <w:b/>
                <w:bCs/>
                <w:color w:val="000000"/>
                <w:kern w:val="0"/>
                <w:sz w:val="18"/>
                <w:szCs w:val="18"/>
              </w:rPr>
              <w:t>完成单位</w:t>
            </w:r>
          </w:p>
        </w:tc>
        <w:tc>
          <w:tcPr>
            <w:tcW w:w="7655"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b/>
                <w:bCs/>
                <w:color w:val="000000"/>
                <w:kern w:val="0"/>
                <w:sz w:val="18"/>
                <w:szCs w:val="18"/>
              </w:rPr>
            </w:pPr>
            <w:r>
              <w:rPr>
                <w:b/>
                <w:bCs/>
                <w:color w:val="000000"/>
                <w:kern w:val="0"/>
                <w:sz w:val="18"/>
                <w:szCs w:val="18"/>
              </w:rPr>
              <w:t>对本项目主要科技创新的贡献</w:t>
            </w:r>
          </w:p>
        </w:tc>
      </w:tr>
      <w:tr>
        <w:tblPrEx>
          <w:tblCellMar>
            <w:top w:w="0" w:type="dxa"/>
            <w:left w:w="108" w:type="dxa"/>
            <w:bottom w:w="0" w:type="dxa"/>
            <w:right w:w="108" w:type="dxa"/>
          </w:tblCellMar>
        </w:tblPrEx>
        <w:trPr>
          <w:trHeight w:val="81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1</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王冬梅</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教授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项目负责人，提出大部分成果的原创思想，对困难立地生态修复技术进行试验设计，参与完成了立地类型的划分、护岸措施评价以及土壤植被条带规律等科学研究，对主要科学发现创新的一至四均具有贡献。</w:t>
            </w:r>
          </w:p>
        </w:tc>
      </w:tr>
      <w:tr>
        <w:tblPrEx>
          <w:tblCellMar>
            <w:top w:w="0" w:type="dxa"/>
            <w:left w:w="108" w:type="dxa"/>
            <w:bottom w:w="0" w:type="dxa"/>
            <w:right w:w="108" w:type="dxa"/>
          </w:tblCellMar>
        </w:tblPrEx>
        <w:trPr>
          <w:trHeight w:val="81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2</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梁士楚</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教授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广西师范大学</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广西师范大学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完成了漓江湿地植被种类组成及其区系划分，筛选出了生态修复模式的适生植物种，探讨了漓江不同植物群落间的功能性状差异，为创新点一至四的植被选择及科学研究提供了依据。</w:t>
            </w:r>
          </w:p>
        </w:tc>
      </w:tr>
      <w:tr>
        <w:tblPrEx>
          <w:tblCellMar>
            <w:top w:w="0" w:type="dxa"/>
            <w:left w:w="108" w:type="dxa"/>
            <w:bottom w:w="0" w:type="dxa"/>
            <w:right w:w="108" w:type="dxa"/>
          </w:tblCellMar>
        </w:tblPrEx>
        <w:trPr>
          <w:trHeight w:val="83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3</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任远</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工程师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中国电建集团中南勘测设计研究院有限公司</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组织各研究内容的实施，参与完成了水陆交错带植被恢复技术研究；完成了“一种砾石滩的植物种植方法”；完成了漓江水陆交错带植被配置型式的划分，总结出了不同立地类型植被配置模式生态退化的特点，对创新点一至四均有贡献。</w:t>
            </w:r>
          </w:p>
        </w:tc>
      </w:tr>
      <w:tr>
        <w:tblPrEx>
          <w:tblCellMar>
            <w:top w:w="0" w:type="dxa"/>
            <w:left w:w="108" w:type="dxa"/>
            <w:bottom w:w="0" w:type="dxa"/>
            <w:right w:w="108" w:type="dxa"/>
          </w:tblCellMar>
        </w:tblPrEx>
        <w:trPr>
          <w:trHeight w:val="54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4</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信忠保</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副教授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参与完成植被恢复方法成果的研究，对漓江河岸植被配置类型退化机制及其拦截径流泥沙等方面进行了研究，对主要技术创新点一、二、四有贡献。</w:t>
            </w:r>
          </w:p>
        </w:tc>
      </w:tr>
      <w:tr>
        <w:tblPrEx>
          <w:tblCellMar>
            <w:top w:w="0" w:type="dxa"/>
            <w:left w:w="108" w:type="dxa"/>
            <w:bottom w:w="0" w:type="dxa"/>
            <w:right w:w="108" w:type="dxa"/>
          </w:tblCellMar>
        </w:tblPrEx>
        <w:trPr>
          <w:trHeight w:val="81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5</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史常青</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副教授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对植被修复技术提供了部分原创思想，参与完成了一种在河岸水陆交错带种植植物的方法，对主要技术创新点一做出贡献；草带径流泥沙的拦截效果研究对主要技术创新点二有贡献。</w:t>
            </w:r>
          </w:p>
        </w:tc>
      </w:tr>
      <w:tr>
        <w:tblPrEx>
          <w:tblCellMar>
            <w:top w:w="0" w:type="dxa"/>
            <w:left w:w="108" w:type="dxa"/>
            <w:bottom w:w="0" w:type="dxa"/>
            <w:right w:w="108" w:type="dxa"/>
          </w:tblCellMar>
        </w:tblPrEx>
        <w:trPr>
          <w:trHeight w:val="83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6</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吴林川</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工程师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沃德兰特（北京）生态环境技术研究院有限</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完成水陆交错带氮素的分布、迁移规律研究，筛选削减径流氮素的草本植物，为构建防治面源污染的水陆交错带提供术支撑。对主要技术创新点一有贡献。参与完成“一种在河岸水陆交错带挂淤生态袋”和“一种水陆交错带立体绿化装置”研究。</w:t>
            </w:r>
          </w:p>
        </w:tc>
      </w:tr>
      <w:tr>
        <w:tblPrEx>
          <w:tblCellMar>
            <w:top w:w="0" w:type="dxa"/>
            <w:left w:w="108" w:type="dxa"/>
            <w:bottom w:w="0" w:type="dxa"/>
            <w:right w:w="108" w:type="dxa"/>
          </w:tblCellMar>
        </w:tblPrEx>
        <w:trPr>
          <w:trHeight w:val="54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7</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李扬</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高级工程师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山东省物化探勘查院</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土壤空间分异规律揭示了水陆交错带的条带特征，参与完成了植被配置类型拦截径流泥沙效果以及退化机制的研究，对主要技术创新点二有贡献。</w:t>
            </w:r>
          </w:p>
        </w:tc>
      </w:tr>
      <w:tr>
        <w:tblPrEx>
          <w:tblCellMar>
            <w:top w:w="0" w:type="dxa"/>
            <w:left w:w="108" w:type="dxa"/>
            <w:bottom w:w="0" w:type="dxa"/>
            <w:right w:w="108" w:type="dxa"/>
          </w:tblCellMar>
        </w:tblPrEx>
        <w:trPr>
          <w:trHeight w:val="55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8</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刘艳</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高级工程师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河南黄河河务局黄河园林集团有限公司</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完成了"淤积质装置及河漫滩植被恢复方法"和“测定水生植物耐淹抗冲性能的装置及方法"技术研究，对主要技术创新点三有贡献。</w:t>
            </w:r>
          </w:p>
        </w:tc>
      </w:tr>
      <w:tr>
        <w:tblPrEx>
          <w:tblCellMar>
            <w:top w:w="0" w:type="dxa"/>
            <w:left w:w="108" w:type="dxa"/>
            <w:bottom w:w="0" w:type="dxa"/>
            <w:right w:w="108" w:type="dxa"/>
          </w:tblCellMar>
        </w:tblPrEx>
        <w:trPr>
          <w:trHeight w:val="55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9</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黄端</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工程师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完成了“一种水陆交错带裸露滩地快速绿化的方法”；基于生态化学计量学探讨了河岸带植物对水淹胁迫的适应性策略，对创新点二有贡献。</w:t>
            </w:r>
          </w:p>
        </w:tc>
      </w:tr>
      <w:tr>
        <w:tblPrEx>
          <w:tblCellMar>
            <w:top w:w="0" w:type="dxa"/>
            <w:left w:w="108" w:type="dxa"/>
            <w:bottom w:w="0" w:type="dxa"/>
            <w:right w:w="108" w:type="dxa"/>
          </w:tblCellMar>
        </w:tblPrEx>
        <w:trPr>
          <w:trHeight w:val="54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10</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王震</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副教授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完成了植被恢复技术的试验设计，提出了部分成果的原创思想，对主要技术创新点一、二有贡献。</w:t>
            </w:r>
          </w:p>
        </w:tc>
      </w:tr>
      <w:tr>
        <w:tblPrEx>
          <w:tblCellMar>
            <w:top w:w="0" w:type="dxa"/>
            <w:left w:w="108" w:type="dxa"/>
            <w:bottom w:w="0" w:type="dxa"/>
            <w:right w:w="108" w:type="dxa"/>
          </w:tblCellMar>
        </w:tblPrEx>
        <w:trPr>
          <w:trHeight w:val="54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11</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田华丽</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工程师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广西师范大学</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广西师范大学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完成桂林漓江湿地植被种类组成及其区系成分研究，对主要技术创新点一、二、四有贡献。</w:t>
            </w:r>
          </w:p>
        </w:tc>
      </w:tr>
      <w:tr>
        <w:tblPrEx>
          <w:tblCellMar>
            <w:top w:w="0" w:type="dxa"/>
            <w:left w:w="108" w:type="dxa"/>
            <w:bottom w:w="0" w:type="dxa"/>
            <w:right w:w="108" w:type="dxa"/>
          </w:tblCellMar>
        </w:tblPrEx>
        <w:trPr>
          <w:trHeight w:val="54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12</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耿玉清</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副教授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土壤酶活性的研究对主要技术创新点二有贡献；凋落物分解装置对主要技术创新点一有贡献。</w:t>
            </w:r>
          </w:p>
        </w:tc>
      </w:tr>
      <w:tr>
        <w:tblPrEx>
          <w:tblCellMar>
            <w:top w:w="0" w:type="dxa"/>
            <w:left w:w="108" w:type="dxa"/>
            <w:bottom w:w="0" w:type="dxa"/>
            <w:right w:w="108" w:type="dxa"/>
          </w:tblCellMar>
        </w:tblPrEx>
        <w:trPr>
          <w:trHeight w:val="54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13</w:t>
            </w:r>
          </w:p>
        </w:tc>
        <w:tc>
          <w:tcPr>
            <w:tcW w:w="952"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卢洋</w:t>
            </w:r>
          </w:p>
        </w:tc>
        <w:tc>
          <w:tcPr>
            <w:tcW w:w="0" w:type="auto"/>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高级工程师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北京市生态环境局</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参与完成了水陆交错带植被恢复技术的试验研究，对主要技术创新点一、二有贡献。</w:t>
            </w:r>
          </w:p>
        </w:tc>
      </w:tr>
      <w:tr>
        <w:tblPrEx>
          <w:tblCellMar>
            <w:top w:w="0" w:type="dxa"/>
            <w:left w:w="108" w:type="dxa"/>
            <w:bottom w:w="0" w:type="dxa"/>
            <w:right w:w="108" w:type="dxa"/>
          </w:tblCellMar>
        </w:tblPrEx>
        <w:trPr>
          <w:trHeight w:val="54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14</w:t>
            </w:r>
          </w:p>
        </w:tc>
        <w:tc>
          <w:tcPr>
            <w:tcW w:w="952" w:type="dxa"/>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王静</w:t>
            </w:r>
          </w:p>
        </w:tc>
        <w:tc>
          <w:tcPr>
            <w:tcW w:w="0" w:type="auto"/>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讲师</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桂林理工大学</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对漓江河岸带土壤微生物多样性及优势菌群结构的二维空间变化等研究对主要技术创新点二有贡献。</w:t>
            </w:r>
          </w:p>
        </w:tc>
      </w:tr>
      <w:tr>
        <w:tblPrEx>
          <w:tblCellMar>
            <w:top w:w="0" w:type="dxa"/>
            <w:left w:w="108" w:type="dxa"/>
            <w:bottom w:w="0" w:type="dxa"/>
            <w:right w:w="108" w:type="dxa"/>
          </w:tblCellMar>
        </w:tblPrEx>
        <w:trPr>
          <w:trHeight w:val="108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15</w:t>
            </w:r>
          </w:p>
        </w:tc>
        <w:tc>
          <w:tcPr>
            <w:tcW w:w="952" w:type="dxa"/>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焦隆</w:t>
            </w:r>
          </w:p>
        </w:tc>
        <w:tc>
          <w:tcPr>
            <w:tcW w:w="0" w:type="auto"/>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副研究员</w:t>
            </w:r>
          </w:p>
        </w:tc>
        <w:tc>
          <w:tcPr>
            <w:tcW w:w="201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1347"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000000"/>
                <w:kern w:val="0"/>
                <w:sz w:val="18"/>
                <w:szCs w:val="18"/>
              </w:rPr>
            </w:pPr>
            <w:r>
              <w:rPr>
                <w:color w:val="000000"/>
                <w:kern w:val="0"/>
                <w:sz w:val="18"/>
                <w:szCs w:val="18"/>
              </w:rPr>
              <w:t>北京林业大学</w:t>
            </w:r>
          </w:p>
        </w:tc>
        <w:tc>
          <w:tcPr>
            <w:tcW w:w="7655" w:type="dxa"/>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360"/>
              <w:jc w:val="left"/>
              <w:rPr>
                <w:color w:val="000000"/>
                <w:kern w:val="0"/>
                <w:sz w:val="18"/>
                <w:szCs w:val="18"/>
              </w:rPr>
            </w:pPr>
            <w:r>
              <w:rPr>
                <w:color w:val="000000"/>
                <w:kern w:val="0"/>
                <w:sz w:val="18"/>
                <w:szCs w:val="18"/>
              </w:rPr>
              <w:t>生态系统健康评价研究方法上，将热力学概念“熵”引入评价过程中权重的确定过程，直接运用决策矩阵计算出来的客观数值可赋予不同指标客观科学的权重；同时，把“隶属度”的概念运用到评价中，避免出现等级间数值相差不大但跨级的情况，让等级间平滑过渡，使评价更为科学合理。对主要内容创新点五有贡献</w:t>
            </w:r>
          </w:p>
        </w:tc>
      </w:tr>
    </w:tbl>
    <w:p>
      <w:pPr>
        <w:spacing w:line="240" w:lineRule="auto"/>
        <w:ind w:firstLine="300"/>
        <w:rPr>
          <w:sz w:val="15"/>
          <w:szCs w:val="15"/>
        </w:rPr>
      </w:pPr>
      <w:r>
        <w:rPr>
          <w:rFonts w:hint="eastAsia"/>
          <w:sz w:val="15"/>
          <w:szCs w:val="15"/>
        </w:rPr>
        <w:t>注：主要技术内容及创新点包括一：提出了水陆交错带生态系统的立地类型划分方法，对漓江水陆交错带进行了立地类型划分；发现了土壤植被与水文过程呈明显的条带性特征及区域性规律，分析了漓江水陆交错带土壤-植被-水文各项指标的相互影响关系。该研究成果为漓江水陆交错带生态修复提供了理论依据。二：</w:t>
      </w:r>
      <w:r>
        <w:rPr>
          <w:sz w:val="15"/>
          <w:szCs w:val="15"/>
        </w:rPr>
        <w:t>针对水陆交错带河床冲淤、土壤养分流失严重，水流携带大量泥沙污染物质汇入漓江等问题，研究了不同植物种类及配置模式对径流泥沙、污染物、漂浮物的拦截效果及关键氮素的分布迁移规律，为构建具有水土保持及防治水体污染功能的生态修复模式提供理论基础。</w:t>
      </w:r>
      <w:r>
        <w:rPr>
          <w:rFonts w:hint="eastAsia"/>
          <w:sz w:val="15"/>
          <w:szCs w:val="15"/>
        </w:rPr>
        <w:t>三：</w:t>
      </w:r>
      <w:r>
        <w:rPr>
          <w:sz w:val="15"/>
          <w:szCs w:val="15"/>
        </w:rPr>
        <w:t>针对砾石滩地冲刷强度大，水陆交错带土壤淘蚀严重等问题，从土壤的淤积与固持、植物的筛选、植物种植、快速绿化等关键技术环节，研发并集成了砾石滩地植被恢复的技术体系。该技术体系能够有效的定植植被，具有优良的生态修复效果。</w:t>
      </w:r>
      <w:r>
        <w:rPr>
          <w:rFonts w:hint="eastAsia"/>
          <w:sz w:val="15"/>
          <w:szCs w:val="15"/>
        </w:rPr>
        <w:t>四：</w:t>
      </w:r>
      <w:r>
        <w:rPr>
          <w:sz w:val="15"/>
          <w:szCs w:val="15"/>
        </w:rPr>
        <w:t>结合基础研究，对水陆交错带不同立地类型及护岸措施功能评价及等级划分，揭示了不同立地类型及护岸措施的稳固效果、植被恢复效果、景观效果、径流污染物拦截效果的优劣，针对不同河段的特点，为当地决策层对护岸措施的修复提供了具有现实意义的科学指导。</w:t>
      </w:r>
      <w:r>
        <w:rPr>
          <w:rFonts w:hint="eastAsia"/>
          <w:sz w:val="15"/>
          <w:szCs w:val="15"/>
        </w:rPr>
        <w:t>五：</w:t>
      </w:r>
      <w:r>
        <w:rPr>
          <w:sz w:val="15"/>
          <w:szCs w:val="15"/>
        </w:rPr>
        <w:t>基于现状植被配置模式，提出了生态修复建议，并结合漓江河岸带断面现状提出了具有不同主导功能的植被配置模式；从流域角度出发，系统构建了生态修复技术体系，并对漓江流域水陆交错带退化生态系统提出了景观优化设计与调控。</w:t>
      </w:r>
    </w:p>
    <w:p>
      <w:pPr>
        <w:pStyle w:val="3"/>
      </w:pPr>
      <w:r>
        <w:rPr>
          <w:rFonts w:hint="eastAsia"/>
        </w:rPr>
        <w:t>4</w:t>
      </w:r>
      <w:r>
        <w:t>.</w:t>
      </w:r>
      <w:r>
        <w:rPr>
          <w:rFonts w:hint="eastAsia"/>
        </w:rPr>
        <w:t>主要完成单位</w:t>
      </w:r>
    </w:p>
    <w:p>
      <w:r>
        <w:rPr>
          <w:rFonts w:hint="eastAsia"/>
        </w:rPr>
        <w:t>北京林业大学、广西师范大学、沃德兰特（北京）生态环境技术研究院有限</w:t>
      </w:r>
    </w:p>
    <w:p>
      <w:pPr>
        <w:pStyle w:val="3"/>
        <w:sectPr>
          <w:pgSz w:w="16838" w:h="11906" w:orient="landscape"/>
          <w:pgMar w:top="1800" w:right="1440" w:bottom="1800" w:left="1440" w:header="851" w:footer="992" w:gutter="0"/>
          <w:cols w:space="425" w:num="1"/>
          <w:docGrid w:type="lines" w:linePitch="381" w:charSpace="0"/>
        </w:sectPr>
      </w:pPr>
    </w:p>
    <w:p>
      <w:pPr>
        <w:pStyle w:val="3"/>
      </w:pPr>
      <w:r>
        <w:rPr>
          <w:rFonts w:hint="eastAsia"/>
        </w:rPr>
        <w:t>5</w:t>
      </w:r>
      <w:r>
        <w:t>.</w:t>
      </w:r>
      <w:r>
        <w:rPr>
          <w:rFonts w:hint="eastAsia"/>
        </w:rPr>
        <w:t>主要知识产权和标准规范等目录。</w:t>
      </w:r>
    </w:p>
    <w:tbl>
      <w:tblPr>
        <w:tblStyle w:val="6"/>
        <w:tblW w:w="5433" w:type="pct"/>
        <w:jc w:val="center"/>
        <w:tblLayout w:type="fixed"/>
        <w:tblCellMar>
          <w:top w:w="0" w:type="dxa"/>
          <w:left w:w="108" w:type="dxa"/>
          <w:bottom w:w="0" w:type="dxa"/>
          <w:right w:w="108" w:type="dxa"/>
        </w:tblCellMar>
      </w:tblPr>
      <w:tblGrid>
        <w:gridCol w:w="645"/>
        <w:gridCol w:w="1227"/>
        <w:gridCol w:w="3597"/>
        <w:gridCol w:w="1155"/>
        <w:gridCol w:w="1362"/>
        <w:gridCol w:w="1439"/>
        <w:gridCol w:w="1448"/>
        <w:gridCol w:w="1509"/>
        <w:gridCol w:w="1873"/>
        <w:gridCol w:w="1146"/>
      </w:tblGrid>
      <w:tr>
        <w:tblPrEx>
          <w:tblCellMar>
            <w:top w:w="0" w:type="dxa"/>
            <w:left w:w="108" w:type="dxa"/>
            <w:bottom w:w="0" w:type="dxa"/>
            <w:right w:w="108" w:type="dxa"/>
          </w:tblCellMar>
        </w:tblPrEx>
        <w:trPr>
          <w:trHeight w:val="280" w:hRule="atLeast"/>
          <w:tblHeader/>
          <w:jc w:val="center"/>
        </w:trPr>
        <w:tc>
          <w:tcPr>
            <w:tcW w:w="20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b/>
                <w:bCs/>
                <w:color w:val="333333"/>
                <w:kern w:val="0"/>
                <w:sz w:val="21"/>
                <w:szCs w:val="21"/>
              </w:rPr>
            </w:pPr>
            <w:r>
              <w:rPr>
                <w:b/>
                <w:bCs/>
                <w:color w:val="333333"/>
                <w:kern w:val="0"/>
                <w:sz w:val="21"/>
                <w:szCs w:val="21"/>
              </w:rPr>
              <w:t>排序 </w:t>
            </w:r>
          </w:p>
        </w:tc>
        <w:tc>
          <w:tcPr>
            <w:tcW w:w="398" w:type="pct"/>
            <w:tcBorders>
              <w:top w:val="single" w:color="auto" w:sz="4" w:space="0"/>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b/>
                <w:bCs/>
                <w:color w:val="333333"/>
                <w:kern w:val="0"/>
                <w:sz w:val="21"/>
                <w:szCs w:val="21"/>
              </w:rPr>
            </w:pPr>
            <w:r>
              <w:rPr>
                <w:b/>
                <w:bCs/>
                <w:color w:val="333333"/>
                <w:kern w:val="0"/>
                <w:sz w:val="21"/>
                <w:szCs w:val="21"/>
              </w:rPr>
              <w:t>知识产权</w:t>
            </w:r>
          </w:p>
          <w:p>
            <w:pPr>
              <w:widowControl/>
              <w:snapToGrid w:val="0"/>
              <w:spacing w:line="240" w:lineRule="auto"/>
              <w:ind w:firstLine="0" w:firstLineChars="0"/>
              <w:jc w:val="center"/>
              <w:rPr>
                <w:b/>
                <w:bCs/>
                <w:color w:val="333333"/>
                <w:kern w:val="0"/>
                <w:sz w:val="21"/>
                <w:szCs w:val="21"/>
              </w:rPr>
            </w:pPr>
            <w:r>
              <w:rPr>
                <w:b/>
                <w:bCs/>
                <w:color w:val="333333"/>
                <w:kern w:val="0"/>
                <w:sz w:val="21"/>
                <w:szCs w:val="21"/>
              </w:rPr>
              <w:t>（标准）类别 </w:t>
            </w:r>
          </w:p>
        </w:tc>
        <w:tc>
          <w:tcPr>
            <w:tcW w:w="1168" w:type="pct"/>
            <w:tcBorders>
              <w:top w:val="single" w:color="auto" w:sz="4" w:space="0"/>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b/>
                <w:bCs/>
                <w:color w:val="333333"/>
                <w:kern w:val="0"/>
                <w:sz w:val="21"/>
                <w:szCs w:val="21"/>
              </w:rPr>
            </w:pPr>
            <w:r>
              <w:rPr>
                <w:b/>
                <w:bCs/>
                <w:color w:val="333333"/>
                <w:kern w:val="0"/>
                <w:sz w:val="21"/>
                <w:szCs w:val="21"/>
              </w:rPr>
              <w:t>知识产权（标准）具体名称 </w:t>
            </w:r>
          </w:p>
        </w:tc>
        <w:tc>
          <w:tcPr>
            <w:tcW w:w="375" w:type="pct"/>
            <w:tcBorders>
              <w:top w:val="single" w:color="auto" w:sz="4" w:space="0"/>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b/>
                <w:bCs/>
                <w:color w:val="333333"/>
                <w:kern w:val="0"/>
                <w:sz w:val="21"/>
                <w:szCs w:val="21"/>
              </w:rPr>
            </w:pPr>
            <w:r>
              <w:rPr>
                <w:b/>
                <w:bCs/>
                <w:color w:val="333333"/>
                <w:kern w:val="0"/>
                <w:sz w:val="21"/>
                <w:szCs w:val="21"/>
              </w:rPr>
              <w:t>国家（地区） </w:t>
            </w:r>
          </w:p>
        </w:tc>
        <w:tc>
          <w:tcPr>
            <w:tcW w:w="442" w:type="pct"/>
            <w:tcBorders>
              <w:top w:val="single" w:color="auto" w:sz="4" w:space="0"/>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b/>
                <w:bCs/>
                <w:color w:val="333333"/>
                <w:kern w:val="0"/>
                <w:sz w:val="21"/>
                <w:szCs w:val="21"/>
              </w:rPr>
            </w:pPr>
            <w:r>
              <w:rPr>
                <w:b/>
                <w:bCs/>
                <w:color w:val="333333"/>
                <w:kern w:val="0"/>
                <w:sz w:val="21"/>
                <w:szCs w:val="21"/>
              </w:rPr>
              <w:t>授权号（标准编号） </w:t>
            </w:r>
          </w:p>
        </w:tc>
        <w:tc>
          <w:tcPr>
            <w:tcW w:w="467" w:type="pct"/>
            <w:tcBorders>
              <w:top w:val="single" w:color="auto" w:sz="4" w:space="0"/>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b/>
                <w:bCs/>
                <w:color w:val="333333"/>
                <w:kern w:val="0"/>
                <w:sz w:val="21"/>
                <w:szCs w:val="21"/>
              </w:rPr>
            </w:pPr>
            <w:r>
              <w:rPr>
                <w:b/>
                <w:bCs/>
                <w:color w:val="333333"/>
                <w:kern w:val="0"/>
                <w:sz w:val="21"/>
                <w:szCs w:val="21"/>
              </w:rPr>
              <w:t>授权（标准发布）日期 </w:t>
            </w:r>
          </w:p>
        </w:tc>
        <w:tc>
          <w:tcPr>
            <w:tcW w:w="470" w:type="pct"/>
            <w:tcBorders>
              <w:top w:val="single" w:color="auto" w:sz="4" w:space="0"/>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b/>
                <w:bCs/>
                <w:color w:val="333333"/>
                <w:kern w:val="0"/>
                <w:sz w:val="21"/>
                <w:szCs w:val="21"/>
              </w:rPr>
            </w:pPr>
            <w:r>
              <w:rPr>
                <w:b/>
                <w:bCs/>
                <w:color w:val="333333"/>
                <w:kern w:val="0"/>
                <w:sz w:val="21"/>
                <w:szCs w:val="21"/>
              </w:rPr>
              <w:t>证书编号（标准批准发布部门） </w:t>
            </w:r>
          </w:p>
        </w:tc>
        <w:tc>
          <w:tcPr>
            <w:tcW w:w="490" w:type="pct"/>
            <w:tcBorders>
              <w:top w:val="single" w:color="auto" w:sz="4" w:space="0"/>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b/>
                <w:bCs/>
                <w:color w:val="333333"/>
                <w:kern w:val="0"/>
                <w:sz w:val="21"/>
                <w:szCs w:val="21"/>
              </w:rPr>
            </w:pPr>
            <w:r>
              <w:rPr>
                <w:b/>
                <w:bCs/>
                <w:color w:val="333333"/>
                <w:kern w:val="0"/>
                <w:sz w:val="21"/>
                <w:szCs w:val="21"/>
              </w:rPr>
              <w:t>权利人（标准起草单位） </w:t>
            </w:r>
          </w:p>
        </w:tc>
        <w:tc>
          <w:tcPr>
            <w:tcW w:w="608" w:type="pct"/>
            <w:tcBorders>
              <w:top w:val="single" w:color="auto" w:sz="4" w:space="0"/>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b/>
                <w:bCs/>
                <w:color w:val="333333"/>
                <w:kern w:val="0"/>
                <w:sz w:val="21"/>
                <w:szCs w:val="21"/>
              </w:rPr>
            </w:pPr>
            <w:r>
              <w:rPr>
                <w:b/>
                <w:bCs/>
                <w:color w:val="333333"/>
                <w:kern w:val="0"/>
                <w:sz w:val="21"/>
                <w:szCs w:val="21"/>
              </w:rPr>
              <w:t>发明人（标准起草人） </w:t>
            </w:r>
          </w:p>
        </w:tc>
        <w:tc>
          <w:tcPr>
            <w:tcW w:w="372" w:type="pct"/>
            <w:tcBorders>
              <w:top w:val="single" w:color="auto" w:sz="4" w:space="0"/>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b/>
                <w:bCs/>
                <w:color w:val="333333"/>
                <w:kern w:val="0"/>
                <w:sz w:val="21"/>
                <w:szCs w:val="21"/>
              </w:rPr>
            </w:pPr>
            <w:r>
              <w:rPr>
                <w:b/>
                <w:bCs/>
                <w:color w:val="333333"/>
                <w:kern w:val="0"/>
                <w:sz w:val="21"/>
                <w:szCs w:val="21"/>
              </w:rPr>
              <w:t>发明专利（标准）有效状态 </w:t>
            </w:r>
          </w:p>
        </w:tc>
      </w:tr>
      <w:tr>
        <w:tblPrEx>
          <w:tblCellMar>
            <w:top w:w="0" w:type="dxa"/>
            <w:left w:w="108" w:type="dxa"/>
            <w:bottom w:w="0" w:type="dxa"/>
            <w:right w:w="108" w:type="dxa"/>
          </w:tblCellMar>
        </w:tblPrEx>
        <w:trPr>
          <w:trHeight w:val="280" w:hRule="atLeast"/>
          <w:jc w:val="center"/>
        </w:trPr>
        <w:tc>
          <w:tcPr>
            <w:tcW w:w="209" w:type="pct"/>
            <w:tcBorders>
              <w:top w:val="nil"/>
              <w:left w:val="single" w:color="auto" w:sz="4" w:space="0"/>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1</w:t>
            </w:r>
          </w:p>
        </w:tc>
        <w:tc>
          <w:tcPr>
            <w:tcW w:w="39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其他</w:t>
            </w:r>
          </w:p>
        </w:tc>
        <w:tc>
          <w:tcPr>
            <w:tcW w:w="116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漓江水陆交错带植被与土壤空间分异规律</w:t>
            </w:r>
          </w:p>
        </w:tc>
        <w:tc>
          <w:tcPr>
            <w:tcW w:w="375"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中国</w:t>
            </w:r>
          </w:p>
        </w:tc>
        <w:tc>
          <w:tcPr>
            <w:tcW w:w="442"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c>
          <w:tcPr>
            <w:tcW w:w="467"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2013/3/1</w:t>
            </w:r>
          </w:p>
        </w:tc>
        <w:tc>
          <w:tcPr>
            <w:tcW w:w="470"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c>
          <w:tcPr>
            <w:tcW w:w="49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北京林业大学</w:t>
            </w:r>
          </w:p>
        </w:tc>
        <w:tc>
          <w:tcPr>
            <w:tcW w:w="60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李扬；王冬梅；信忠保</w:t>
            </w:r>
          </w:p>
        </w:tc>
        <w:tc>
          <w:tcPr>
            <w:tcW w:w="372"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r>
      <w:tr>
        <w:tblPrEx>
          <w:tblCellMar>
            <w:top w:w="0" w:type="dxa"/>
            <w:left w:w="108" w:type="dxa"/>
            <w:bottom w:w="0" w:type="dxa"/>
            <w:right w:w="108" w:type="dxa"/>
          </w:tblCellMar>
        </w:tblPrEx>
        <w:trPr>
          <w:trHeight w:val="280" w:hRule="atLeast"/>
          <w:jc w:val="center"/>
        </w:trPr>
        <w:tc>
          <w:tcPr>
            <w:tcW w:w="209" w:type="pct"/>
            <w:tcBorders>
              <w:top w:val="nil"/>
              <w:left w:val="single" w:color="auto" w:sz="4" w:space="0"/>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2</w:t>
            </w:r>
          </w:p>
        </w:tc>
        <w:tc>
          <w:tcPr>
            <w:tcW w:w="39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其他</w:t>
            </w:r>
          </w:p>
        </w:tc>
        <w:tc>
          <w:tcPr>
            <w:tcW w:w="116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漓江流域水陆交错带生态修复理论与技术</w:t>
            </w:r>
          </w:p>
        </w:tc>
        <w:tc>
          <w:tcPr>
            <w:tcW w:w="375"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中国</w:t>
            </w:r>
          </w:p>
        </w:tc>
        <w:tc>
          <w:tcPr>
            <w:tcW w:w="442"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c>
          <w:tcPr>
            <w:tcW w:w="467"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2018/12/1</w:t>
            </w:r>
          </w:p>
        </w:tc>
        <w:tc>
          <w:tcPr>
            <w:tcW w:w="470"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c>
          <w:tcPr>
            <w:tcW w:w="490"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hint="eastAsia"/>
                <w:color w:val="333333"/>
                <w:kern w:val="0"/>
                <w:sz w:val="21"/>
                <w:szCs w:val="21"/>
              </w:rPr>
            </w:pPr>
            <w:r>
              <w:rPr>
                <w:rFonts w:hint="eastAsia"/>
                <w:color w:val="333333"/>
                <w:kern w:val="0"/>
                <w:sz w:val="21"/>
                <w:szCs w:val="21"/>
              </w:rPr>
              <w:t>北京林业大学；广西师范大学</w:t>
            </w:r>
          </w:p>
        </w:tc>
        <w:tc>
          <w:tcPr>
            <w:tcW w:w="60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王冬梅；梁士楚；任远</w:t>
            </w:r>
          </w:p>
        </w:tc>
        <w:tc>
          <w:tcPr>
            <w:tcW w:w="372"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r>
      <w:tr>
        <w:tblPrEx>
          <w:tblCellMar>
            <w:top w:w="0" w:type="dxa"/>
            <w:left w:w="108" w:type="dxa"/>
            <w:bottom w:w="0" w:type="dxa"/>
            <w:right w:w="108" w:type="dxa"/>
          </w:tblCellMar>
        </w:tblPrEx>
        <w:trPr>
          <w:trHeight w:val="280" w:hRule="atLeast"/>
          <w:jc w:val="center"/>
        </w:trPr>
        <w:tc>
          <w:tcPr>
            <w:tcW w:w="209" w:type="pct"/>
            <w:tcBorders>
              <w:top w:val="nil"/>
              <w:left w:val="single" w:color="auto" w:sz="4" w:space="0"/>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3</w:t>
            </w:r>
          </w:p>
        </w:tc>
        <w:tc>
          <w:tcPr>
            <w:tcW w:w="39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其他</w:t>
            </w:r>
          </w:p>
        </w:tc>
        <w:tc>
          <w:tcPr>
            <w:tcW w:w="116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Impacts of Human Disturbances on Riparian Herbaceous Communities in a Chinese Karst River</w:t>
            </w:r>
          </w:p>
        </w:tc>
        <w:tc>
          <w:tcPr>
            <w:tcW w:w="375"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其他</w:t>
            </w:r>
          </w:p>
        </w:tc>
        <w:tc>
          <w:tcPr>
            <w:tcW w:w="442"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c>
          <w:tcPr>
            <w:tcW w:w="467"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r>
              <w:rPr>
                <w:rFonts w:hint="eastAsia"/>
                <w:color w:val="333333"/>
                <w:kern w:val="0"/>
                <w:sz w:val="21"/>
                <w:szCs w:val="21"/>
              </w:rPr>
              <w:t>2</w:t>
            </w:r>
            <w:r>
              <w:rPr>
                <w:color w:val="333333"/>
                <w:kern w:val="0"/>
                <w:sz w:val="21"/>
                <w:szCs w:val="21"/>
              </w:rPr>
              <w:t>019</w:t>
            </w:r>
            <w:r>
              <w:rPr>
                <w:rFonts w:hint="eastAsia"/>
                <w:color w:val="333333"/>
                <w:kern w:val="0"/>
                <w:sz w:val="21"/>
                <w:szCs w:val="21"/>
              </w:rPr>
              <w:t>/</w:t>
            </w:r>
            <w:r>
              <w:rPr>
                <w:color w:val="333333"/>
                <w:kern w:val="0"/>
                <w:sz w:val="21"/>
                <w:szCs w:val="21"/>
              </w:rPr>
              <w:t>4/25　</w:t>
            </w:r>
          </w:p>
        </w:tc>
        <w:tc>
          <w:tcPr>
            <w:tcW w:w="470"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c>
          <w:tcPr>
            <w:tcW w:w="49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北京林业大学</w:t>
            </w:r>
          </w:p>
        </w:tc>
        <w:tc>
          <w:tcPr>
            <w:tcW w:w="60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任远；王冬梅；李笑晨</w:t>
            </w:r>
          </w:p>
        </w:tc>
        <w:tc>
          <w:tcPr>
            <w:tcW w:w="372"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r>
      <w:tr>
        <w:tblPrEx>
          <w:tblCellMar>
            <w:top w:w="0" w:type="dxa"/>
            <w:left w:w="108" w:type="dxa"/>
            <w:bottom w:w="0" w:type="dxa"/>
            <w:right w:w="108" w:type="dxa"/>
          </w:tblCellMar>
        </w:tblPrEx>
        <w:trPr>
          <w:trHeight w:val="280" w:hRule="atLeast"/>
          <w:jc w:val="center"/>
        </w:trPr>
        <w:tc>
          <w:tcPr>
            <w:tcW w:w="209" w:type="pct"/>
            <w:tcBorders>
              <w:top w:val="nil"/>
              <w:left w:val="single" w:color="auto" w:sz="4" w:space="0"/>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4</w:t>
            </w:r>
          </w:p>
        </w:tc>
        <w:tc>
          <w:tcPr>
            <w:tcW w:w="39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其他</w:t>
            </w:r>
          </w:p>
        </w:tc>
        <w:tc>
          <w:tcPr>
            <w:tcW w:w="116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Comparison of topsoil organic carbon and total nitrogen in different flood-risk riparian zones in a Chinese Karst area</w:t>
            </w:r>
          </w:p>
        </w:tc>
        <w:tc>
          <w:tcPr>
            <w:tcW w:w="375"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欧洲</w:t>
            </w:r>
          </w:p>
        </w:tc>
        <w:tc>
          <w:tcPr>
            <w:tcW w:w="442"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c>
          <w:tcPr>
            <w:tcW w:w="467"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r>
              <w:rPr>
                <w:rFonts w:hint="eastAsia"/>
                <w:color w:val="333333"/>
                <w:kern w:val="0"/>
                <w:sz w:val="21"/>
                <w:szCs w:val="21"/>
              </w:rPr>
              <w:t>2</w:t>
            </w:r>
            <w:r>
              <w:rPr>
                <w:color w:val="333333"/>
                <w:kern w:val="0"/>
                <w:sz w:val="21"/>
                <w:szCs w:val="21"/>
              </w:rPr>
              <w:t>016/6/14</w:t>
            </w:r>
          </w:p>
        </w:tc>
        <w:tc>
          <w:tcPr>
            <w:tcW w:w="470"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c>
          <w:tcPr>
            <w:tcW w:w="49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北京林业大学</w:t>
            </w:r>
          </w:p>
        </w:tc>
        <w:tc>
          <w:tcPr>
            <w:tcW w:w="60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覃云斌；信忠保；王冬梅</w:t>
            </w:r>
          </w:p>
        </w:tc>
        <w:tc>
          <w:tcPr>
            <w:tcW w:w="372"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r>
      <w:tr>
        <w:tblPrEx>
          <w:tblCellMar>
            <w:top w:w="0" w:type="dxa"/>
            <w:left w:w="108" w:type="dxa"/>
            <w:bottom w:w="0" w:type="dxa"/>
            <w:right w:w="108" w:type="dxa"/>
          </w:tblCellMar>
        </w:tblPrEx>
        <w:trPr>
          <w:trHeight w:val="280" w:hRule="atLeast"/>
          <w:jc w:val="center"/>
        </w:trPr>
        <w:tc>
          <w:tcPr>
            <w:tcW w:w="209" w:type="pct"/>
            <w:tcBorders>
              <w:top w:val="nil"/>
              <w:left w:val="single" w:color="auto" w:sz="4" w:space="0"/>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5</w:t>
            </w:r>
          </w:p>
        </w:tc>
        <w:tc>
          <w:tcPr>
            <w:tcW w:w="39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其他</w:t>
            </w:r>
          </w:p>
        </w:tc>
        <w:tc>
          <w:tcPr>
            <w:tcW w:w="116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Using leaf nutrient stoichiometry as an indicator of flood tolerance and eutrophication in the riparian zone of the Lijang River</w:t>
            </w:r>
          </w:p>
        </w:tc>
        <w:tc>
          <w:tcPr>
            <w:tcW w:w="375"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欧洲</w:t>
            </w:r>
          </w:p>
        </w:tc>
        <w:tc>
          <w:tcPr>
            <w:tcW w:w="442"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c>
          <w:tcPr>
            <w:tcW w:w="467"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2018/12/5</w:t>
            </w:r>
          </w:p>
        </w:tc>
        <w:tc>
          <w:tcPr>
            <w:tcW w:w="470"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c>
          <w:tcPr>
            <w:tcW w:w="49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北京林业大学</w:t>
            </w:r>
          </w:p>
        </w:tc>
        <w:tc>
          <w:tcPr>
            <w:tcW w:w="60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黄端；王冬梅；任远</w:t>
            </w:r>
          </w:p>
        </w:tc>
        <w:tc>
          <w:tcPr>
            <w:tcW w:w="372"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p>
        </w:tc>
      </w:tr>
      <w:tr>
        <w:tblPrEx>
          <w:tblCellMar>
            <w:top w:w="0" w:type="dxa"/>
            <w:left w:w="108" w:type="dxa"/>
            <w:bottom w:w="0" w:type="dxa"/>
            <w:right w:w="108" w:type="dxa"/>
          </w:tblCellMar>
        </w:tblPrEx>
        <w:trPr>
          <w:trHeight w:val="280" w:hRule="atLeast"/>
          <w:jc w:val="center"/>
        </w:trPr>
        <w:tc>
          <w:tcPr>
            <w:tcW w:w="209" w:type="pct"/>
            <w:tcBorders>
              <w:top w:val="nil"/>
              <w:left w:val="single" w:color="auto" w:sz="4" w:space="0"/>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6</w:t>
            </w:r>
          </w:p>
        </w:tc>
        <w:tc>
          <w:tcPr>
            <w:tcW w:w="39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授权发明专利</w:t>
            </w:r>
          </w:p>
        </w:tc>
        <w:tc>
          <w:tcPr>
            <w:tcW w:w="116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一种在河岸水陆交错带种植植物的方法</w:t>
            </w:r>
          </w:p>
        </w:tc>
        <w:tc>
          <w:tcPr>
            <w:tcW w:w="375"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中国</w:t>
            </w:r>
          </w:p>
        </w:tc>
        <w:tc>
          <w:tcPr>
            <w:tcW w:w="442"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ZL201410838272.9</w:t>
            </w:r>
          </w:p>
        </w:tc>
        <w:tc>
          <w:tcPr>
            <w:tcW w:w="467"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2017/2/22</w:t>
            </w:r>
          </w:p>
        </w:tc>
        <w:tc>
          <w:tcPr>
            <w:tcW w:w="47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2390656</w:t>
            </w:r>
          </w:p>
        </w:tc>
        <w:tc>
          <w:tcPr>
            <w:tcW w:w="49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北京林业大学； 沃德兰特（北 京）生态环境技 术研究院有限 公司</w:t>
            </w:r>
          </w:p>
        </w:tc>
        <w:tc>
          <w:tcPr>
            <w:tcW w:w="60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王冬梅；张丹丹；史常青； 张艳</w:t>
            </w:r>
          </w:p>
        </w:tc>
        <w:tc>
          <w:tcPr>
            <w:tcW w:w="372"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专利权有效</w:t>
            </w:r>
          </w:p>
        </w:tc>
      </w:tr>
      <w:tr>
        <w:tblPrEx>
          <w:tblCellMar>
            <w:top w:w="0" w:type="dxa"/>
            <w:left w:w="108" w:type="dxa"/>
            <w:bottom w:w="0" w:type="dxa"/>
            <w:right w:w="108" w:type="dxa"/>
          </w:tblCellMar>
        </w:tblPrEx>
        <w:trPr>
          <w:trHeight w:val="280" w:hRule="atLeast"/>
          <w:jc w:val="center"/>
        </w:trPr>
        <w:tc>
          <w:tcPr>
            <w:tcW w:w="209" w:type="pct"/>
            <w:tcBorders>
              <w:top w:val="nil"/>
              <w:left w:val="single" w:color="auto" w:sz="4" w:space="0"/>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7</w:t>
            </w:r>
          </w:p>
        </w:tc>
        <w:tc>
          <w:tcPr>
            <w:tcW w:w="39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授权发明专利</w:t>
            </w:r>
          </w:p>
        </w:tc>
        <w:tc>
          <w:tcPr>
            <w:tcW w:w="116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一种河岸水陆交错带植被的种植方法</w:t>
            </w:r>
          </w:p>
        </w:tc>
        <w:tc>
          <w:tcPr>
            <w:tcW w:w="375"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中国</w:t>
            </w:r>
          </w:p>
        </w:tc>
        <w:tc>
          <w:tcPr>
            <w:tcW w:w="442"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ZL201510178250.9</w:t>
            </w:r>
          </w:p>
        </w:tc>
        <w:tc>
          <w:tcPr>
            <w:tcW w:w="467"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2017/2/22</w:t>
            </w:r>
          </w:p>
        </w:tc>
        <w:tc>
          <w:tcPr>
            <w:tcW w:w="47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2385667</w:t>
            </w:r>
          </w:p>
        </w:tc>
        <w:tc>
          <w:tcPr>
            <w:tcW w:w="49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北京林业大学</w:t>
            </w:r>
          </w:p>
        </w:tc>
        <w:tc>
          <w:tcPr>
            <w:tcW w:w="60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信忠保；王冬梅；覃云斌； 王晓英</w:t>
            </w:r>
          </w:p>
        </w:tc>
        <w:tc>
          <w:tcPr>
            <w:tcW w:w="372"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专利权有效</w:t>
            </w:r>
          </w:p>
        </w:tc>
      </w:tr>
      <w:tr>
        <w:tblPrEx>
          <w:tblCellMar>
            <w:top w:w="0" w:type="dxa"/>
            <w:left w:w="108" w:type="dxa"/>
            <w:bottom w:w="0" w:type="dxa"/>
            <w:right w:w="108" w:type="dxa"/>
          </w:tblCellMar>
        </w:tblPrEx>
        <w:trPr>
          <w:trHeight w:val="280" w:hRule="atLeast"/>
          <w:jc w:val="center"/>
        </w:trPr>
        <w:tc>
          <w:tcPr>
            <w:tcW w:w="209" w:type="pct"/>
            <w:tcBorders>
              <w:top w:val="nil"/>
              <w:left w:val="single" w:color="auto" w:sz="4" w:space="0"/>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8</w:t>
            </w:r>
          </w:p>
        </w:tc>
        <w:tc>
          <w:tcPr>
            <w:tcW w:w="39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授权发明专利</w:t>
            </w:r>
          </w:p>
        </w:tc>
        <w:tc>
          <w:tcPr>
            <w:tcW w:w="116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一种砾石滩的植物种植方法</w:t>
            </w:r>
          </w:p>
        </w:tc>
        <w:tc>
          <w:tcPr>
            <w:tcW w:w="375"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中国</w:t>
            </w:r>
          </w:p>
        </w:tc>
        <w:tc>
          <w:tcPr>
            <w:tcW w:w="442"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ZL201510818676.6</w:t>
            </w:r>
          </w:p>
        </w:tc>
        <w:tc>
          <w:tcPr>
            <w:tcW w:w="467"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2017/7/20</w:t>
            </w:r>
          </w:p>
        </w:tc>
        <w:tc>
          <w:tcPr>
            <w:tcW w:w="47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3007320</w:t>
            </w:r>
          </w:p>
        </w:tc>
        <w:tc>
          <w:tcPr>
            <w:tcW w:w="49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北京林业大学； 王冬梅</w:t>
            </w:r>
          </w:p>
        </w:tc>
        <w:tc>
          <w:tcPr>
            <w:tcW w:w="60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王冬梅；任远；黄端；汪西林</w:t>
            </w:r>
          </w:p>
        </w:tc>
        <w:tc>
          <w:tcPr>
            <w:tcW w:w="372"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专利权有效</w:t>
            </w:r>
          </w:p>
        </w:tc>
      </w:tr>
      <w:tr>
        <w:tblPrEx>
          <w:tblCellMar>
            <w:top w:w="0" w:type="dxa"/>
            <w:left w:w="108" w:type="dxa"/>
            <w:bottom w:w="0" w:type="dxa"/>
            <w:right w:w="108" w:type="dxa"/>
          </w:tblCellMar>
        </w:tblPrEx>
        <w:trPr>
          <w:trHeight w:val="280" w:hRule="atLeast"/>
          <w:jc w:val="center"/>
        </w:trPr>
        <w:tc>
          <w:tcPr>
            <w:tcW w:w="209" w:type="pct"/>
            <w:tcBorders>
              <w:top w:val="nil"/>
              <w:left w:val="single" w:color="auto" w:sz="4" w:space="0"/>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9</w:t>
            </w:r>
          </w:p>
        </w:tc>
        <w:tc>
          <w:tcPr>
            <w:tcW w:w="39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授权发明专利</w:t>
            </w:r>
          </w:p>
        </w:tc>
        <w:tc>
          <w:tcPr>
            <w:tcW w:w="116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一种水陆交错带裸露滩地快速绿化的方法</w:t>
            </w:r>
          </w:p>
        </w:tc>
        <w:tc>
          <w:tcPr>
            <w:tcW w:w="375"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中国</w:t>
            </w:r>
          </w:p>
        </w:tc>
        <w:tc>
          <w:tcPr>
            <w:tcW w:w="442"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ZL201510916953.7</w:t>
            </w:r>
          </w:p>
        </w:tc>
        <w:tc>
          <w:tcPr>
            <w:tcW w:w="467"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2015/12/10</w:t>
            </w:r>
          </w:p>
        </w:tc>
        <w:tc>
          <w:tcPr>
            <w:tcW w:w="47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2990160</w:t>
            </w:r>
          </w:p>
        </w:tc>
        <w:tc>
          <w:tcPr>
            <w:tcW w:w="49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北京林业大学； 王冬梅</w:t>
            </w:r>
          </w:p>
        </w:tc>
        <w:tc>
          <w:tcPr>
            <w:tcW w:w="60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王冬梅；黄 端；任远；杨 娜</w:t>
            </w:r>
          </w:p>
        </w:tc>
        <w:tc>
          <w:tcPr>
            <w:tcW w:w="372"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专利权有效</w:t>
            </w:r>
          </w:p>
        </w:tc>
      </w:tr>
      <w:tr>
        <w:tblPrEx>
          <w:tblCellMar>
            <w:top w:w="0" w:type="dxa"/>
            <w:left w:w="108" w:type="dxa"/>
            <w:bottom w:w="0" w:type="dxa"/>
            <w:right w:w="108" w:type="dxa"/>
          </w:tblCellMar>
        </w:tblPrEx>
        <w:trPr>
          <w:trHeight w:val="280" w:hRule="atLeast"/>
          <w:jc w:val="center"/>
        </w:trPr>
        <w:tc>
          <w:tcPr>
            <w:tcW w:w="209" w:type="pct"/>
            <w:tcBorders>
              <w:top w:val="nil"/>
              <w:left w:val="single" w:color="auto" w:sz="4" w:space="0"/>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10</w:t>
            </w:r>
          </w:p>
        </w:tc>
        <w:tc>
          <w:tcPr>
            <w:tcW w:w="39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其他</w:t>
            </w:r>
          </w:p>
        </w:tc>
        <w:tc>
          <w:tcPr>
            <w:tcW w:w="116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漓江河岸带植物功能形状变异与关联</w:t>
            </w:r>
          </w:p>
        </w:tc>
        <w:tc>
          <w:tcPr>
            <w:tcW w:w="375"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中国</w:t>
            </w:r>
          </w:p>
        </w:tc>
        <w:tc>
          <w:tcPr>
            <w:tcW w:w="442"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　</w:t>
            </w:r>
          </w:p>
        </w:tc>
        <w:tc>
          <w:tcPr>
            <w:tcW w:w="467"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2018/12/8</w:t>
            </w:r>
          </w:p>
        </w:tc>
        <w:tc>
          <w:tcPr>
            <w:tcW w:w="470" w:type="pct"/>
            <w:tcBorders>
              <w:top w:val="nil"/>
              <w:left w:val="nil"/>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　</w:t>
            </w:r>
          </w:p>
        </w:tc>
        <w:tc>
          <w:tcPr>
            <w:tcW w:w="490"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广西师范大学</w:t>
            </w:r>
          </w:p>
        </w:tc>
        <w:tc>
          <w:tcPr>
            <w:tcW w:w="608" w:type="pct"/>
            <w:tcBorders>
              <w:top w:val="nil"/>
              <w:left w:val="nil"/>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color w:val="333333"/>
                <w:kern w:val="0"/>
                <w:sz w:val="21"/>
                <w:szCs w:val="21"/>
              </w:rPr>
            </w:pPr>
            <w:r>
              <w:rPr>
                <w:color w:val="333333"/>
                <w:kern w:val="0"/>
                <w:sz w:val="21"/>
                <w:szCs w:val="21"/>
              </w:rPr>
              <w:t>梁士楚；刘润红；荣春艳；常斌；姜勇</w:t>
            </w:r>
          </w:p>
        </w:tc>
        <w:tc>
          <w:tcPr>
            <w:tcW w:w="372" w:type="pct"/>
            <w:tcBorders>
              <w:top w:val="nil"/>
              <w:left w:val="nil"/>
              <w:bottom w:val="single" w:color="auto" w:sz="4" w:space="0"/>
              <w:right w:val="single" w:color="auto" w:sz="4" w:space="0"/>
            </w:tcBorders>
            <w:shd w:val="clear" w:color="auto" w:fill="auto"/>
            <w:noWrap/>
            <w:vAlign w:val="bottom"/>
          </w:tcPr>
          <w:p>
            <w:pPr>
              <w:widowControl/>
              <w:snapToGrid w:val="0"/>
              <w:spacing w:line="240" w:lineRule="auto"/>
              <w:ind w:firstLine="0" w:firstLineChars="0"/>
              <w:jc w:val="center"/>
              <w:rPr>
                <w:color w:val="333333"/>
                <w:kern w:val="0"/>
                <w:sz w:val="21"/>
                <w:szCs w:val="21"/>
              </w:rPr>
            </w:pPr>
            <w:r>
              <w:rPr>
                <w:color w:val="333333"/>
                <w:kern w:val="0"/>
                <w:sz w:val="21"/>
                <w:szCs w:val="21"/>
              </w:rPr>
              <w:t>　</w:t>
            </w:r>
          </w:p>
        </w:tc>
      </w:tr>
    </w:tbl>
    <w:p/>
    <w:sectPr>
      <w:pgSz w:w="16838" w:h="11906" w:orient="landscape"/>
      <w:pgMar w:top="1800" w:right="1440" w:bottom="1800" w:left="1440" w:header="851" w:footer="992" w:gutter="0"/>
      <w:cols w:space="425"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56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documentProtection w:enforcement="0"/>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20D"/>
    <w:rsid w:val="000525D6"/>
    <w:rsid w:val="000F1A6A"/>
    <w:rsid w:val="00132BB1"/>
    <w:rsid w:val="001A7847"/>
    <w:rsid w:val="00233384"/>
    <w:rsid w:val="00275D68"/>
    <w:rsid w:val="00431E54"/>
    <w:rsid w:val="00497227"/>
    <w:rsid w:val="00566FAB"/>
    <w:rsid w:val="00604A47"/>
    <w:rsid w:val="0066234F"/>
    <w:rsid w:val="007318A3"/>
    <w:rsid w:val="007633CA"/>
    <w:rsid w:val="007905AE"/>
    <w:rsid w:val="007C16CB"/>
    <w:rsid w:val="007C542E"/>
    <w:rsid w:val="007F6B2D"/>
    <w:rsid w:val="008B6657"/>
    <w:rsid w:val="00966A41"/>
    <w:rsid w:val="00B34801"/>
    <w:rsid w:val="00B9192B"/>
    <w:rsid w:val="00D912D4"/>
    <w:rsid w:val="00E869C0"/>
    <w:rsid w:val="00EE7386"/>
    <w:rsid w:val="00F8020D"/>
    <w:rsid w:val="00FD6B14"/>
    <w:rsid w:val="2F443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560" w:firstLineChars="200"/>
      <w:jc w:val="both"/>
    </w:pPr>
    <w:rPr>
      <w:rFonts w:ascii="Times New Roman" w:hAnsi="Times New Roman" w:eastAsia="宋体" w:cs="Times New Roman"/>
      <w:kern w:val="2"/>
      <w:sz w:val="28"/>
      <w:szCs w:val="32"/>
      <w:lang w:val="en-US" w:eastAsia="zh-CN" w:bidi="ar-SA"/>
    </w:rPr>
  </w:style>
  <w:style w:type="paragraph" w:styleId="2">
    <w:name w:val="heading 1"/>
    <w:basedOn w:val="1"/>
    <w:next w:val="1"/>
    <w:link w:val="11"/>
    <w:qFormat/>
    <w:uiPriority w:val="9"/>
    <w:pPr>
      <w:jc w:val="center"/>
      <w:outlineLvl w:val="0"/>
    </w:pPr>
    <w:rPr>
      <w:b/>
      <w:bCs/>
      <w:szCs w:val="28"/>
    </w:rPr>
  </w:style>
  <w:style w:type="paragraph" w:styleId="3">
    <w:name w:val="heading 2"/>
    <w:basedOn w:val="1"/>
    <w:next w:val="1"/>
    <w:link w:val="12"/>
    <w:unhideWhenUsed/>
    <w:qFormat/>
    <w:uiPriority w:val="9"/>
    <w:pPr>
      <w:ind w:firstLine="0" w:firstLineChars="0"/>
      <w:outlineLvl w:val="1"/>
    </w:pPr>
    <w:rPr>
      <w:b/>
      <w:bCs/>
      <w:szCs w:val="28"/>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uiPriority w:val="99"/>
    <w:rPr>
      <w:sz w:val="18"/>
      <w:szCs w:val="18"/>
    </w:rPr>
  </w:style>
  <w:style w:type="character" w:customStyle="1" w:styleId="10">
    <w:name w:val="页脚 字符"/>
    <w:basedOn w:val="8"/>
    <w:link w:val="4"/>
    <w:uiPriority w:val="99"/>
    <w:rPr>
      <w:sz w:val="18"/>
      <w:szCs w:val="18"/>
    </w:rPr>
  </w:style>
  <w:style w:type="character" w:customStyle="1" w:styleId="11">
    <w:name w:val="标题 1 字符"/>
    <w:basedOn w:val="8"/>
    <w:link w:val="2"/>
    <w:uiPriority w:val="9"/>
    <w:rPr>
      <w:rFonts w:ascii="Times New Roman" w:hAnsi="Times New Roman" w:eastAsia="宋体" w:cs="Times New Roman"/>
      <w:b/>
      <w:bCs/>
      <w:sz w:val="28"/>
      <w:szCs w:val="28"/>
    </w:rPr>
  </w:style>
  <w:style w:type="character" w:customStyle="1" w:styleId="12">
    <w:name w:val="标题 2 字符"/>
    <w:basedOn w:val="8"/>
    <w:link w:val="3"/>
    <w:uiPriority w:val="9"/>
    <w:rPr>
      <w:rFonts w:ascii="Times New Roman" w:hAnsi="Times New Roman" w:eastAsia="宋体" w:cs="Times New Roman"/>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4D2B74-7479-45D9-A455-B1ECC97B25D1}">
  <ds:schemaRefs/>
</ds:datastoreItem>
</file>

<file path=docProps/app.xml><?xml version="1.0" encoding="utf-8"?>
<Properties xmlns="http://schemas.openxmlformats.org/officeDocument/2006/extended-properties" xmlns:vt="http://schemas.openxmlformats.org/officeDocument/2006/docPropsVTypes">
  <Template>Normal</Template>
  <Pages>5</Pages>
  <Words>518</Words>
  <Characters>2954</Characters>
  <Lines>24</Lines>
  <Paragraphs>6</Paragraphs>
  <TotalTime>0</TotalTime>
  <ScaleCrop>false</ScaleCrop>
  <LinksUpToDate>false</LinksUpToDate>
  <CharactersWithSpaces>3466</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2022-05-13T08:06:00Z</dcterms:created>
  <dc:creator>admin</dc:creator>
  <cp:lastModifiedBy>Semper</cp:lastModifiedBy>
  <dcterms:modified xsi:type="dcterms:W3CDTF">2022-05-17T09:05:33Z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