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宋体" w:hAnsi="宋体"/>
          <w:sz w:val="32"/>
          <w:szCs w:val="32"/>
        </w:rPr>
      </w:pPr>
      <w:r>
        <w:rPr>
          <w:rFonts w:hint="eastAsia" w:ascii="仿宋_GB2312" w:hAnsi="仿宋_GB2312" w:eastAsia="仿宋_GB2312"/>
          <w:b/>
          <w:bCs/>
          <w:sz w:val="32"/>
        </w:rPr>
        <w:t>简要事迹</w:t>
      </w:r>
    </w:p>
    <w:p>
      <w:pPr>
        <w:ind w:firstLine="562" w:firstLineChars="200"/>
        <w:rPr>
          <w:rFonts w:hint="eastAsia" w:ascii="仿宋_GB2312" w:hAnsi="仿宋_GB2312" w:eastAsia="仿宋_GB2312"/>
          <w:color w:val="auto"/>
          <w:sz w:val="28"/>
          <w:szCs w:val="28"/>
          <w:lang w:val="en-US" w:eastAsia="zh-CN"/>
        </w:rPr>
      </w:pPr>
      <w:r>
        <w:rPr>
          <w:rFonts w:hint="eastAsia" w:ascii="宋体" w:hAnsi="宋体"/>
          <w:b/>
          <w:bCs/>
          <w:color w:val="auto"/>
          <w:sz w:val="28"/>
          <w:szCs w:val="28"/>
          <w:lang w:val="en-US" w:eastAsia="zh-CN"/>
        </w:rPr>
        <w:t>马姜明</w:t>
      </w:r>
      <w:r>
        <w:rPr>
          <w:rFonts w:hint="eastAsia" w:ascii="仿宋_GB2312" w:hAnsi="仿宋_GB2312" w:eastAsia="仿宋_GB2312"/>
          <w:b/>
          <w:bCs/>
          <w:color w:val="auto"/>
          <w:sz w:val="28"/>
          <w:szCs w:val="28"/>
        </w:rPr>
        <w:t>，</w:t>
      </w:r>
      <w:r>
        <w:rPr>
          <w:rFonts w:hint="eastAsia" w:ascii="仿宋_GB2312" w:hAnsi="仿宋_GB2312" w:eastAsia="仿宋_GB2312"/>
          <w:color w:val="auto"/>
          <w:sz w:val="28"/>
          <w:szCs w:val="28"/>
        </w:rPr>
        <w:t>男，汉族，</w:t>
      </w:r>
      <w:r>
        <w:rPr>
          <w:rFonts w:hint="eastAsia" w:ascii="Times New Roman" w:hAnsi="Times New Roman" w:eastAsia="仿宋_GB2312" w:cs="Times New Roman"/>
          <w:color w:val="auto"/>
          <w:sz w:val="28"/>
          <w:szCs w:val="28"/>
        </w:rPr>
        <w:t>1980</w:t>
      </w:r>
      <w:r>
        <w:rPr>
          <w:rFonts w:hint="eastAsia" w:ascii="仿宋_GB2312" w:hAnsi="仿宋_GB2312" w:eastAsia="仿宋_GB2312"/>
          <w:color w:val="auto"/>
          <w:sz w:val="28"/>
          <w:szCs w:val="28"/>
        </w:rPr>
        <w:t>年</w:t>
      </w:r>
      <w:r>
        <w:rPr>
          <w:rFonts w:hint="eastAsia" w:ascii="Times New Roman" w:hAnsi="Times New Roman" w:eastAsia="仿宋_GB2312" w:cs="Times New Roman"/>
          <w:color w:val="auto"/>
          <w:sz w:val="28"/>
          <w:szCs w:val="28"/>
        </w:rPr>
        <w:t>2</w:t>
      </w:r>
      <w:r>
        <w:rPr>
          <w:rFonts w:hint="eastAsia" w:ascii="仿宋_GB2312" w:hAnsi="仿宋_GB2312" w:eastAsia="仿宋_GB2312"/>
          <w:color w:val="auto"/>
          <w:sz w:val="28"/>
          <w:szCs w:val="28"/>
        </w:rPr>
        <w:t>月生，中共党员，</w:t>
      </w:r>
      <w:r>
        <w:rPr>
          <w:rFonts w:hint="eastAsia" w:ascii="仿宋_GB2312" w:hAnsi="仿宋_GB2312" w:eastAsia="仿宋_GB2312"/>
          <w:color w:val="auto"/>
          <w:sz w:val="28"/>
          <w:szCs w:val="28"/>
          <w:lang w:val="en-US" w:eastAsia="zh-CN"/>
        </w:rPr>
        <w:t>博</w:t>
      </w:r>
      <w:r>
        <w:rPr>
          <w:rFonts w:hint="eastAsia" w:ascii="仿宋_GB2312" w:hAnsi="仿宋_GB2312" w:eastAsia="仿宋_GB2312"/>
          <w:color w:val="auto"/>
          <w:sz w:val="28"/>
          <w:szCs w:val="28"/>
        </w:rPr>
        <w:t>士研究生，</w:t>
      </w:r>
      <w:r>
        <w:rPr>
          <w:rFonts w:hint="eastAsia" w:ascii="仿宋_GB2312" w:hAnsi="仿宋_GB2312" w:eastAsia="仿宋_GB2312"/>
          <w:color w:val="auto"/>
          <w:sz w:val="28"/>
          <w:szCs w:val="28"/>
          <w:lang w:val="en-US" w:eastAsia="zh-CN"/>
        </w:rPr>
        <w:t>教授职称，现任生命科学学院副院长</w:t>
      </w:r>
      <w:r>
        <w:rPr>
          <w:rFonts w:hint="eastAsia" w:ascii="仿宋_GB2312" w:hAnsi="仿宋_GB2312" w:eastAsia="仿宋_GB2312"/>
          <w:color w:val="auto"/>
          <w:sz w:val="28"/>
          <w:szCs w:val="28"/>
        </w:rPr>
        <w:t>。</w:t>
      </w:r>
      <w:r>
        <w:rPr>
          <w:rFonts w:hint="eastAsia" w:ascii="仿宋_GB2312" w:hAnsi="仿宋_GB2312" w:eastAsia="仿宋_GB2312"/>
          <w:color w:val="auto"/>
          <w:sz w:val="28"/>
          <w:szCs w:val="28"/>
          <w:lang w:val="en-US" w:eastAsia="zh-CN"/>
        </w:rPr>
        <w:t>曾获</w:t>
      </w:r>
      <w:r>
        <w:rPr>
          <w:rFonts w:hint="eastAsia" w:ascii="仿宋_GB2312" w:hAnsi="仿宋_GB2312" w:eastAsia="仿宋_GB2312"/>
          <w:color w:val="auto"/>
          <w:sz w:val="28"/>
          <w:szCs w:val="28"/>
        </w:rPr>
        <w:t>自治区党委教育工委优秀共产党员</w:t>
      </w:r>
      <w:r>
        <w:rPr>
          <w:rFonts w:hint="eastAsia" w:ascii="仿宋_GB2312" w:hAnsi="仿宋_GB2312" w:eastAsia="仿宋_GB2312"/>
          <w:color w:val="auto"/>
          <w:sz w:val="28"/>
          <w:szCs w:val="28"/>
          <w:lang w:eastAsia="zh-CN"/>
        </w:rPr>
        <w:t>、</w:t>
      </w:r>
      <w:r>
        <w:rPr>
          <w:rFonts w:hint="eastAsia" w:ascii="仿宋_GB2312" w:hAnsi="仿宋_GB2312" w:eastAsia="仿宋_GB2312"/>
          <w:color w:val="auto"/>
          <w:sz w:val="28"/>
          <w:szCs w:val="28"/>
          <w:lang w:val="en-US" w:eastAsia="zh-CN"/>
        </w:rPr>
        <w:t>广西师范大学优秀研究生导师、广西师范大学脱贫攻坚专项奖励嘉奖个人、广西生态学会2017-2019年度优秀会员。</w:t>
      </w:r>
    </w:p>
    <w:p>
      <w:pPr>
        <w:ind w:firstLine="562" w:firstLineChars="200"/>
        <w:jc w:val="center"/>
        <w:rPr>
          <w:rFonts w:hint="eastAsia" w:ascii="仿宋_GB2312" w:hAnsi="仿宋_GB2312" w:eastAsia="仿宋_GB2312"/>
          <w:color w:val="auto"/>
          <w:sz w:val="28"/>
          <w:szCs w:val="28"/>
          <w:lang w:val="en-US" w:eastAsia="zh-CN"/>
        </w:rPr>
      </w:pPr>
      <w:r>
        <w:rPr>
          <w:rFonts w:hint="eastAsia" w:ascii="仿宋_GB2312" w:hAnsi="仿宋_GB2312" w:eastAsia="仿宋_GB2312"/>
          <w:b/>
          <w:bCs/>
          <w:color w:val="auto"/>
          <w:sz w:val="28"/>
          <w:szCs w:val="28"/>
          <w:lang w:val="en-US" w:eastAsia="zh-CN"/>
        </w:rPr>
        <w:t>坚持教书育人，为中国式现代化培养有用之才</w:t>
      </w:r>
    </w:p>
    <w:p>
      <w:pPr>
        <w:ind w:firstLine="560" w:firstLineChars="200"/>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马姜明从事高等教育工作15年，秉持“课堂教学与课外实践相结合”的理念，实现“教与学”的协同提升，“教学与科研”的相互促进。参与获得自治区教学成果二等奖和三等奖各1项，主持获得校级教学成果一等奖和二等奖3项。指导本科生杰出代表陈宁、李春明等开展创新创业计划训练，分别获得“中国大学生自强之星”、首届“广西青少年科技创新自治区主席奖”等荣誉称号。</w:t>
      </w:r>
    </w:p>
    <w:p>
      <w:pPr>
        <w:ind w:firstLine="562" w:firstLineChars="200"/>
        <w:jc w:val="center"/>
        <w:rPr>
          <w:rFonts w:hint="eastAsia" w:ascii="仿宋_GB2312" w:hAnsi="仿宋_GB2312" w:eastAsia="仿宋_GB2312"/>
          <w:b/>
          <w:bCs/>
          <w:color w:val="auto"/>
          <w:sz w:val="28"/>
          <w:szCs w:val="28"/>
          <w:lang w:val="en-US" w:eastAsia="zh-CN"/>
        </w:rPr>
      </w:pPr>
      <w:r>
        <w:rPr>
          <w:rFonts w:hint="eastAsia" w:ascii="仿宋_GB2312" w:hAnsi="仿宋_GB2312" w:eastAsia="仿宋_GB2312"/>
          <w:b/>
          <w:bCs/>
          <w:color w:val="auto"/>
          <w:sz w:val="28"/>
          <w:szCs w:val="28"/>
          <w:lang w:val="en-US" w:eastAsia="zh-CN"/>
        </w:rPr>
        <w:t>坚持科学研究，服务国家战略和地方经济社会发展</w:t>
      </w:r>
    </w:p>
    <w:p>
      <w:pPr>
        <w:ind w:firstLine="560" w:firstLineChars="200"/>
        <w:rPr>
          <w:rFonts w:hint="eastAsia" w:ascii="仿宋_GB2312" w:hAnsi="仿宋_GB2312" w:eastAsia="仿宋_GB2312"/>
          <w:color w:val="auto"/>
          <w:sz w:val="28"/>
          <w:szCs w:val="28"/>
          <w:lang w:val="en-US" w:eastAsia="zh-CN"/>
        </w:rPr>
      </w:pPr>
      <w:r>
        <w:rPr>
          <w:rFonts w:hint="eastAsia" w:ascii="仿宋_GB2312" w:hAnsi="仿宋_GB2312" w:eastAsia="仿宋_GB2312"/>
          <w:color w:val="auto"/>
          <w:sz w:val="28"/>
          <w:szCs w:val="28"/>
          <w:lang w:val="en-US" w:eastAsia="zh-CN"/>
        </w:rPr>
        <w:t>马姜明从事林业生态科学研究21年，长期爬山涉水开展野外调查，坚持从基层了解科技需求，善于从山里发现科学问题。主持的广西科技重大专项课题“马尾松人工林生态功能监测与提质增效研究”通过验收，技术推广45万亩，成熟林和中龄林单株蓄积量提高20%，示范林生态功能提高21.21%；主编《广西典型马尾松人工林群落学特征及近自然恢复评价》《广西乡村振兴战略与实践（生态卷）》、主持制定广西地方标准《广西马尾松人工林近自然恢复评价规范》，这对广西人工林改造和提质增效、乡村振兴起到极大的促进作用。</w:t>
      </w:r>
    </w:p>
    <w:p>
      <w:pPr>
        <w:ind w:firstLine="560" w:firstLineChars="200"/>
        <w:rPr>
          <w:rFonts w:hint="default" w:eastAsia="仿宋_GB2312"/>
          <w:color w:val="auto"/>
          <w:sz w:val="28"/>
          <w:szCs w:val="28"/>
          <w:lang w:val="en-US" w:eastAsia="zh-CN"/>
        </w:rPr>
      </w:pPr>
      <w:r>
        <w:rPr>
          <w:rFonts w:hint="eastAsia" w:ascii="仿宋_GB2312" w:hAnsi="仿宋_GB2312" w:eastAsia="仿宋_GB2312"/>
          <w:color w:val="auto"/>
          <w:sz w:val="28"/>
          <w:szCs w:val="28"/>
          <w:lang w:val="en-US" w:eastAsia="zh-CN"/>
        </w:rPr>
        <w:t>马姜明</w:t>
      </w:r>
      <w:bookmarkStart w:id="0" w:name="_GoBack"/>
      <w:bookmarkEnd w:id="0"/>
      <w:r>
        <w:rPr>
          <w:rFonts w:hint="eastAsia" w:ascii="仿宋_GB2312" w:hAnsi="仿宋_GB2312" w:eastAsia="仿宋_GB2312"/>
          <w:color w:val="auto"/>
          <w:sz w:val="28"/>
          <w:szCs w:val="28"/>
          <w:lang w:val="en-US" w:eastAsia="zh-CN"/>
        </w:rPr>
        <w:t>牵头成立可持续发展创新研究院、主持申报广西漓江流域景观资源保育与可持续利用实验室获批自治区级重点实验室，极大地支撑了桂林市国家可持续发展议程创新示范区建设和桂林打造世界级旅游城市建设，为推动区域绿色发展、可持续发展和生态文明建设做出了应有贡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YmU0N2YwMTUxMTk5ZjRlODIwZTBjMWE0OTdlOTEifQ=="/>
  </w:docVars>
  <w:rsids>
    <w:rsidRoot w:val="7B745268"/>
    <w:rsid w:val="2792183D"/>
    <w:rsid w:val="7B74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市教育局</Company>
  <Pages>2</Pages>
  <Words>675</Words>
  <Characters>696</Characters>
  <Lines>0</Lines>
  <Paragraphs>0</Paragraphs>
  <TotalTime>2</TotalTime>
  <ScaleCrop>false</ScaleCrop>
  <LinksUpToDate>false</LinksUpToDate>
  <CharactersWithSpaces>696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2023-01-06T07:24:00Z</dcterms:created>
  <dc:creator>凯</dc:creator>
  <cp:lastModifiedBy>凯</cp:lastModifiedBy>
  <dcterms:modified xsi:type="dcterms:W3CDTF">2023-01-06T07:45:42Z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D6BF7A43AE1A46C58C7AD08EA5E8F9E5</vt:lpwstr>
  </property>
</Properties>
</file>