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asciiTheme="majorEastAsia" w:hAnsiTheme="majorEastAsia" w:eastAsiaTheme="majorEastAsia"/>
          <w:b/>
          <w:sz w:val="28"/>
          <w:szCs w:val="28"/>
          <w:lang w:eastAsia="zh-CN"/>
        </w:rPr>
      </w:pPr>
      <w:bookmarkStart w:id="0" w:name="bookmark11"/>
      <w:bookmarkStart w:id="1" w:name="bookmark9"/>
      <w:bookmarkStart w:id="2" w:name="bookmark10"/>
      <w:r>
        <w:rPr>
          <w:rFonts w:hint="eastAsia" w:asciiTheme="majorEastAsia" w:hAnsiTheme="majorEastAsia" w:eastAsiaTheme="majorEastAsia"/>
          <w:b/>
          <w:sz w:val="28"/>
          <w:szCs w:val="28"/>
          <w:lang w:eastAsia="zh-CN"/>
        </w:rPr>
        <w:t>拟转让发明专利简介</w:t>
      </w:r>
    </w:p>
    <w:p>
      <w:pPr>
        <w:adjustRightInd w:val="0"/>
        <w:snapToGrid w:val="0"/>
        <w:spacing w:line="0" w:lineRule="atLeast"/>
        <w:rPr>
          <w:rFonts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技术领域</w:t>
      </w:r>
    </w:p>
    <w:p>
      <w:pPr>
        <w:spacing w:line="0" w:lineRule="atLeast"/>
        <w:ind w:firstLine="560" w:firstLineChars="200"/>
        <w:rPr>
          <w:rFonts w:asciiTheme="majorEastAsia" w:hAnsiTheme="majorEastAsia" w:eastAsiaTheme="majorEastAsia"/>
          <w:sz w:val="28"/>
          <w:szCs w:val="28"/>
          <w:lang w:eastAsia="zh-CN"/>
        </w:rPr>
      </w:pPr>
      <w:r>
        <w:rPr>
          <w:rFonts w:hint="eastAsia" w:ascii="宋体" w:hAnsi="宋体"/>
          <w:sz w:val="28"/>
          <w:lang w:eastAsia="zh-CN"/>
        </w:rPr>
        <w:t>本发明涉及一种竹木条</w:t>
      </w:r>
      <w:r>
        <w:rPr>
          <w:rFonts w:ascii="宋体" w:hAnsi="宋体"/>
          <w:sz w:val="28"/>
          <w:lang w:eastAsia="zh-CN"/>
        </w:rPr>
        <w:t>自动检测分选系统及</w:t>
      </w:r>
      <w:r>
        <w:rPr>
          <w:rFonts w:hint="eastAsia" w:ascii="宋体" w:hAnsi="宋体"/>
          <w:sz w:val="28"/>
          <w:lang w:eastAsia="zh-CN"/>
        </w:rPr>
        <w:t>方法。</w:t>
      </w:r>
    </w:p>
    <w:p>
      <w:pPr>
        <w:adjustRightInd w:val="0"/>
        <w:snapToGrid w:val="0"/>
        <w:spacing w:line="0" w:lineRule="atLeast"/>
        <w:rPr>
          <w:rFonts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背景技术</w:t>
      </w:r>
    </w:p>
    <w:p>
      <w:pPr>
        <w:spacing w:line="0" w:lineRule="atLeast"/>
        <w:ind w:firstLine="560" w:firstLineChars="200"/>
        <w:rPr>
          <w:rFonts w:asciiTheme="majorEastAsia" w:hAnsiTheme="majorEastAsia" w:eastAsiaTheme="majorEastAsia"/>
          <w:sz w:val="28"/>
          <w:szCs w:val="28"/>
          <w:lang w:eastAsia="zh-CN"/>
        </w:rPr>
      </w:pPr>
      <w:r>
        <w:rPr>
          <w:rFonts w:hint="eastAsia" w:asciiTheme="majorEastAsia" w:hAnsiTheme="majorEastAsia" w:eastAsiaTheme="majorEastAsia"/>
          <w:sz w:val="28"/>
          <w:szCs w:val="28"/>
          <w:lang w:eastAsia="zh-CN"/>
        </w:rPr>
        <w:t>竹木条主要</w:t>
      </w:r>
      <w:r>
        <w:rPr>
          <w:rFonts w:asciiTheme="majorEastAsia" w:hAnsiTheme="majorEastAsia" w:eastAsiaTheme="majorEastAsia"/>
          <w:sz w:val="28"/>
          <w:szCs w:val="28"/>
          <w:lang w:eastAsia="zh-CN"/>
        </w:rPr>
        <w:t>用来加工竹木板材</w:t>
      </w:r>
      <w:r>
        <w:rPr>
          <w:rFonts w:hint="eastAsia" w:asciiTheme="majorEastAsia" w:hAnsiTheme="majorEastAsia" w:eastAsiaTheme="majorEastAsia"/>
          <w:sz w:val="28"/>
          <w:szCs w:val="28"/>
          <w:lang w:eastAsia="zh-CN"/>
        </w:rPr>
        <w:t>，</w:t>
      </w:r>
      <w:r>
        <w:rPr>
          <w:rFonts w:asciiTheme="majorEastAsia" w:hAnsiTheme="majorEastAsia" w:eastAsiaTheme="majorEastAsia"/>
          <w:sz w:val="28"/>
          <w:szCs w:val="28"/>
          <w:lang w:eastAsia="zh-CN"/>
        </w:rPr>
        <w:t>竹木条加工过程容易出现边缘缺损</w:t>
      </w:r>
      <w:r>
        <w:rPr>
          <w:rFonts w:hint="eastAsia" w:asciiTheme="majorEastAsia" w:hAnsiTheme="majorEastAsia" w:eastAsiaTheme="majorEastAsia"/>
          <w:sz w:val="28"/>
          <w:szCs w:val="28"/>
          <w:lang w:eastAsia="zh-CN"/>
        </w:rPr>
        <w:t>的</w:t>
      </w:r>
      <w:r>
        <w:rPr>
          <w:rFonts w:asciiTheme="majorEastAsia" w:hAnsiTheme="majorEastAsia" w:eastAsiaTheme="majorEastAsia"/>
          <w:sz w:val="28"/>
          <w:szCs w:val="28"/>
          <w:lang w:eastAsia="zh-CN"/>
        </w:rPr>
        <w:t>情况，在加工板材时容易形成表面缝隙影响板材质量；现在大部分</w:t>
      </w:r>
      <w:r>
        <w:rPr>
          <w:rFonts w:hint="eastAsia" w:asciiTheme="majorEastAsia" w:hAnsiTheme="majorEastAsia" w:eastAsiaTheme="majorEastAsia"/>
          <w:sz w:val="28"/>
          <w:szCs w:val="28"/>
          <w:lang w:eastAsia="zh-CN"/>
        </w:rPr>
        <w:t>企业</w:t>
      </w:r>
      <w:r>
        <w:rPr>
          <w:rFonts w:asciiTheme="majorEastAsia" w:hAnsiTheme="majorEastAsia" w:eastAsiaTheme="majorEastAsia"/>
          <w:sz w:val="28"/>
          <w:szCs w:val="28"/>
          <w:lang w:eastAsia="zh-CN"/>
        </w:rPr>
        <w:t>采用人工分拣，劳动强度大，生产效率低；部分采用机器视觉技术进行分拣，但拍摄的二维照片其边缘缺损特征不明显，提取困难，检测</w:t>
      </w:r>
      <w:r>
        <w:rPr>
          <w:rFonts w:hint="eastAsia" w:asciiTheme="majorEastAsia" w:hAnsiTheme="majorEastAsia" w:eastAsiaTheme="majorEastAsia"/>
          <w:sz w:val="28"/>
          <w:szCs w:val="28"/>
          <w:lang w:eastAsia="zh-CN"/>
        </w:rPr>
        <w:t>效果</w:t>
      </w:r>
      <w:r>
        <w:rPr>
          <w:rFonts w:asciiTheme="majorEastAsia" w:hAnsiTheme="majorEastAsia" w:eastAsiaTheme="majorEastAsia"/>
          <w:sz w:val="28"/>
          <w:szCs w:val="28"/>
          <w:lang w:eastAsia="zh-CN"/>
        </w:rPr>
        <w:t>不理想。</w:t>
      </w:r>
    </w:p>
    <w:bookmarkEnd w:id="0"/>
    <w:bookmarkEnd w:id="1"/>
    <w:bookmarkEnd w:id="2"/>
    <w:p>
      <w:pPr>
        <w:spacing w:line="0" w:lineRule="atLeast"/>
        <w:ind w:firstLine="562" w:firstLineChars="200"/>
        <w:rPr>
          <w:rFonts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发明内容</w:t>
      </w:r>
    </w:p>
    <w:p>
      <w:pPr>
        <w:spacing w:line="0" w:lineRule="atLeast"/>
        <w:ind w:firstLine="560" w:firstLineChars="200"/>
        <w:rPr>
          <w:rFonts w:hAnsi="宋体" w:cs="宋体"/>
          <w:sz w:val="28"/>
          <w:szCs w:val="28"/>
          <w:lang w:eastAsia="zh-CN"/>
        </w:rPr>
      </w:pPr>
      <w:r>
        <w:rPr>
          <w:rFonts w:hint="eastAsia" w:hAnsi="宋体" w:cs="宋体"/>
          <w:sz w:val="28"/>
          <w:szCs w:val="28"/>
          <w:lang w:eastAsia="zh-CN"/>
        </w:rPr>
        <w:t>本</w:t>
      </w:r>
      <w:r>
        <w:rPr>
          <w:rFonts w:hAnsi="宋体" w:cs="宋体"/>
          <w:sz w:val="28"/>
          <w:szCs w:val="28"/>
          <w:lang w:eastAsia="zh-CN"/>
        </w:rPr>
        <w:t>发明</w:t>
      </w:r>
      <w:r>
        <w:rPr>
          <w:rFonts w:hint="eastAsia" w:hAnsi="宋体" w:cs="宋体"/>
          <w:sz w:val="28"/>
          <w:szCs w:val="28"/>
          <w:lang w:eastAsia="zh-CN"/>
        </w:rPr>
        <w:t>的</w:t>
      </w:r>
      <w:r>
        <w:rPr>
          <w:rFonts w:hAnsi="宋体" w:cs="宋体"/>
          <w:sz w:val="28"/>
          <w:szCs w:val="28"/>
          <w:lang w:eastAsia="zh-CN"/>
        </w:rPr>
        <w:t>目的是提供</w:t>
      </w:r>
      <w:r>
        <w:rPr>
          <w:rFonts w:hint="eastAsia" w:hAnsi="宋体" w:cs="宋体"/>
          <w:sz w:val="28"/>
          <w:szCs w:val="28"/>
          <w:lang w:eastAsia="zh-CN"/>
        </w:rPr>
        <w:t>一种</w:t>
      </w:r>
      <w:r>
        <w:rPr>
          <w:rFonts w:hAnsi="宋体" w:cs="宋体"/>
          <w:sz w:val="28"/>
          <w:szCs w:val="28"/>
          <w:lang w:eastAsia="zh-CN"/>
        </w:rPr>
        <w:t>竹木条自动检测分选系统及方法，所要解决的技术问题是：采用人工检测分拣，劳动强度大，生产效率低。</w:t>
      </w:r>
    </w:p>
    <w:p>
      <w:pPr>
        <w:spacing w:line="0" w:lineRule="atLeast"/>
        <w:ind w:firstLine="560" w:firstLineChars="200"/>
        <w:rPr>
          <w:rFonts w:hAnsi="宋体" w:cs="宋体"/>
          <w:sz w:val="28"/>
          <w:szCs w:val="28"/>
          <w:lang w:eastAsia="zh-CN"/>
        </w:rPr>
      </w:pPr>
      <w:r>
        <w:rPr>
          <w:rFonts w:hint="eastAsia" w:hAnsi="宋体" w:cs="宋体"/>
          <w:sz w:val="28"/>
          <w:szCs w:val="28"/>
          <w:lang w:eastAsia="zh-CN"/>
        </w:rPr>
        <w:t>本</w:t>
      </w:r>
      <w:r>
        <w:rPr>
          <w:rFonts w:hAnsi="宋体" w:cs="宋体"/>
          <w:sz w:val="28"/>
          <w:szCs w:val="28"/>
          <w:lang w:eastAsia="zh-CN"/>
        </w:rPr>
        <w:t>发明解决上述技术问题的技术</w:t>
      </w:r>
      <w:r>
        <w:rPr>
          <w:rFonts w:hint="eastAsia" w:hAnsi="宋体" w:cs="宋体"/>
          <w:sz w:val="28"/>
          <w:szCs w:val="28"/>
          <w:lang w:eastAsia="zh-CN"/>
        </w:rPr>
        <w:t>方案</w:t>
      </w:r>
      <w:r>
        <w:rPr>
          <w:rFonts w:hAnsi="宋体" w:cs="宋体"/>
          <w:sz w:val="28"/>
          <w:szCs w:val="28"/>
          <w:lang w:eastAsia="zh-CN"/>
        </w:rPr>
        <w:t>如下：一种竹木条自动检测分选系统，包括棱边检测模块、类别检测模块、分拣机构和控制模块，所述棱边检测模块、类别检测模块和分拣机构均通过线路与所述控制模块</w:t>
      </w:r>
      <w:r>
        <w:rPr>
          <w:rFonts w:hint="eastAsia" w:hAnsi="宋体" w:cs="宋体"/>
          <w:sz w:val="28"/>
          <w:szCs w:val="28"/>
          <w:lang w:eastAsia="zh-CN"/>
        </w:rPr>
        <w:t>连接；</w:t>
      </w:r>
    </w:p>
    <w:p>
      <w:pPr>
        <w:spacing w:line="0" w:lineRule="atLeast"/>
        <w:ind w:firstLine="560" w:firstLineChars="200"/>
        <w:rPr>
          <w:rFonts w:hAnsi="宋体" w:cs="宋体"/>
          <w:sz w:val="28"/>
          <w:szCs w:val="28"/>
          <w:lang w:eastAsia="zh-CN"/>
        </w:rPr>
      </w:pPr>
      <w:r>
        <w:rPr>
          <w:rFonts w:hint="eastAsia" w:hAnsi="宋体" w:cs="宋体"/>
          <w:sz w:val="28"/>
          <w:szCs w:val="28"/>
          <w:lang w:eastAsia="zh-CN"/>
        </w:rPr>
        <w:t>所述</w:t>
      </w:r>
      <w:r>
        <w:rPr>
          <w:rFonts w:hAnsi="宋体" w:cs="宋体"/>
          <w:sz w:val="28"/>
          <w:szCs w:val="28"/>
          <w:lang w:eastAsia="zh-CN"/>
        </w:rPr>
        <w:t>棱边检测模块</w:t>
      </w:r>
      <w:r>
        <w:rPr>
          <w:rFonts w:hint="eastAsia" w:hAnsi="宋体" w:cs="宋体"/>
          <w:sz w:val="28"/>
          <w:szCs w:val="28"/>
          <w:lang w:eastAsia="zh-CN"/>
        </w:rPr>
        <w:t>实时</w:t>
      </w:r>
      <w:r>
        <w:rPr>
          <w:rFonts w:hAnsi="宋体" w:cs="宋体"/>
          <w:sz w:val="28"/>
          <w:szCs w:val="28"/>
          <w:lang w:eastAsia="zh-CN"/>
        </w:rPr>
        <w:t>并列检测竹木条的四个棱边的完整性，当检测到竹木条的四个棱边</w:t>
      </w:r>
      <w:r>
        <w:rPr>
          <w:rFonts w:hint="eastAsia" w:hAnsi="宋体" w:cs="宋体"/>
          <w:sz w:val="28"/>
          <w:szCs w:val="28"/>
          <w:lang w:eastAsia="zh-CN"/>
        </w:rPr>
        <w:t>存在</w:t>
      </w:r>
      <w:r>
        <w:rPr>
          <w:rFonts w:hAnsi="宋体" w:cs="宋体"/>
          <w:sz w:val="28"/>
          <w:szCs w:val="28"/>
          <w:lang w:eastAsia="zh-CN"/>
        </w:rPr>
        <w:t>却损失，则生成缺损信号传输至控制模块；当检测到竹木条的四个棱边不存在缺损时，则生成完整信号传输至</w:t>
      </w:r>
      <w:r>
        <w:rPr>
          <w:rFonts w:hint="eastAsia" w:hAnsi="宋体" w:cs="宋体"/>
          <w:sz w:val="28"/>
          <w:szCs w:val="28"/>
          <w:lang w:eastAsia="zh-CN"/>
        </w:rPr>
        <w:t>控制</w:t>
      </w:r>
      <w:r>
        <w:rPr>
          <w:rFonts w:hAnsi="宋体" w:cs="宋体"/>
          <w:sz w:val="28"/>
          <w:szCs w:val="28"/>
          <w:lang w:eastAsia="zh-CN"/>
        </w:rPr>
        <w:t>模块；</w:t>
      </w:r>
    </w:p>
    <w:p>
      <w:pPr>
        <w:spacing w:line="0" w:lineRule="atLeast"/>
        <w:ind w:firstLine="560" w:firstLineChars="200"/>
        <w:rPr>
          <w:rFonts w:hAnsi="宋体" w:cs="宋体"/>
          <w:sz w:val="28"/>
          <w:szCs w:val="28"/>
          <w:lang w:eastAsia="zh-CN"/>
        </w:rPr>
      </w:pPr>
      <w:r>
        <w:rPr>
          <w:rFonts w:hint="eastAsia" w:hAnsi="宋体" w:cs="宋体"/>
          <w:sz w:val="28"/>
          <w:szCs w:val="28"/>
          <w:lang w:eastAsia="zh-CN"/>
        </w:rPr>
        <w:t>所述</w:t>
      </w:r>
      <w:r>
        <w:rPr>
          <w:rFonts w:hAnsi="宋体" w:cs="宋体"/>
          <w:sz w:val="28"/>
          <w:szCs w:val="28"/>
          <w:lang w:eastAsia="zh-CN"/>
        </w:rPr>
        <w:t>类别检测模块对</w:t>
      </w:r>
      <w:r>
        <w:rPr>
          <w:rFonts w:hint="eastAsia" w:hAnsi="宋体" w:cs="宋体"/>
          <w:sz w:val="28"/>
          <w:szCs w:val="28"/>
          <w:lang w:eastAsia="zh-CN"/>
        </w:rPr>
        <w:t>竹木条进行</w:t>
      </w:r>
      <w:r>
        <w:rPr>
          <w:rFonts w:hAnsi="宋体" w:cs="宋体"/>
          <w:sz w:val="28"/>
          <w:szCs w:val="28"/>
          <w:lang w:eastAsia="zh-CN"/>
        </w:rPr>
        <w:t>类别检测，生成类别检测信号传输</w:t>
      </w:r>
      <w:r>
        <w:rPr>
          <w:rFonts w:hint="eastAsia" w:hAnsi="宋体" w:cs="宋体"/>
          <w:sz w:val="28"/>
          <w:szCs w:val="28"/>
          <w:lang w:eastAsia="zh-CN"/>
        </w:rPr>
        <w:t>至</w:t>
      </w:r>
      <w:r>
        <w:rPr>
          <w:rFonts w:hAnsi="宋体" w:cs="宋体"/>
          <w:sz w:val="28"/>
          <w:szCs w:val="28"/>
          <w:lang w:eastAsia="zh-CN"/>
        </w:rPr>
        <w:t>控制</w:t>
      </w:r>
      <w:r>
        <w:rPr>
          <w:rFonts w:hint="eastAsia" w:hAnsi="宋体" w:cs="宋体"/>
          <w:sz w:val="28"/>
          <w:szCs w:val="28"/>
          <w:lang w:eastAsia="zh-CN"/>
        </w:rPr>
        <w:t>模块</w:t>
      </w:r>
      <w:r>
        <w:rPr>
          <w:rFonts w:hAnsi="宋体" w:cs="宋体"/>
          <w:sz w:val="28"/>
          <w:szCs w:val="28"/>
          <w:lang w:eastAsia="zh-CN"/>
        </w:rPr>
        <w:t>；</w:t>
      </w:r>
    </w:p>
    <w:p>
      <w:pPr>
        <w:spacing w:line="0" w:lineRule="atLeast"/>
        <w:ind w:firstLine="560" w:firstLineChars="200"/>
        <w:rPr>
          <w:rFonts w:hAnsi="宋体" w:cs="宋体"/>
          <w:sz w:val="28"/>
          <w:szCs w:val="28"/>
          <w:lang w:eastAsia="zh-CN"/>
        </w:rPr>
      </w:pPr>
      <w:r>
        <w:rPr>
          <w:rFonts w:hint="eastAsia" w:hAnsi="宋体" w:cs="宋体"/>
          <w:sz w:val="28"/>
          <w:szCs w:val="28"/>
          <w:lang w:eastAsia="zh-CN"/>
        </w:rPr>
        <w:t>所述</w:t>
      </w:r>
      <w:r>
        <w:rPr>
          <w:rFonts w:hAnsi="宋体" w:cs="宋体"/>
          <w:sz w:val="28"/>
          <w:szCs w:val="28"/>
          <w:lang w:eastAsia="zh-CN"/>
        </w:rPr>
        <w:t>控制模块根据缺损</w:t>
      </w:r>
      <w:r>
        <w:rPr>
          <w:rFonts w:hint="eastAsia" w:hAnsi="宋体" w:cs="宋体"/>
          <w:sz w:val="28"/>
          <w:szCs w:val="28"/>
          <w:lang w:eastAsia="zh-CN"/>
        </w:rPr>
        <w:t>信号</w:t>
      </w:r>
      <w:r>
        <w:rPr>
          <w:rFonts w:hAnsi="宋体" w:cs="宋体"/>
          <w:sz w:val="28"/>
          <w:szCs w:val="28"/>
          <w:lang w:eastAsia="zh-CN"/>
        </w:rPr>
        <w:t>控制输入输出装置将竹木条传输至外部；还根据完整信号控制输入输出装置将竹木条传输至类别检测模块处；还对类别检测信号进行判断，根据判断出竹木条的类别控制所述分拣机构将竹木条进行顺序计数分拣，分拣竹木条</w:t>
      </w:r>
      <w:r>
        <w:rPr>
          <w:rFonts w:hint="eastAsia" w:hAnsi="宋体" w:cs="宋体"/>
          <w:sz w:val="28"/>
          <w:szCs w:val="28"/>
          <w:lang w:eastAsia="zh-CN"/>
        </w:rPr>
        <w:t>至</w:t>
      </w:r>
      <w:r>
        <w:rPr>
          <w:rFonts w:hAnsi="宋体" w:cs="宋体"/>
          <w:sz w:val="28"/>
          <w:szCs w:val="28"/>
          <w:lang w:eastAsia="zh-CN"/>
        </w:rPr>
        <w:t>对应箱体内</w:t>
      </w:r>
      <w:r>
        <w:rPr>
          <w:rFonts w:hint="eastAsia" w:hAnsi="宋体" w:cs="宋体"/>
          <w:sz w:val="28"/>
          <w:szCs w:val="28"/>
          <w:lang w:eastAsia="zh-CN"/>
        </w:rPr>
        <w:t>；</w:t>
      </w:r>
    </w:p>
    <w:p>
      <w:pPr>
        <w:spacing w:line="0" w:lineRule="atLeast"/>
        <w:ind w:firstLine="560" w:firstLineChars="200"/>
        <w:rPr>
          <w:rFonts w:hAnsi="宋体" w:cs="宋体"/>
          <w:sz w:val="28"/>
          <w:szCs w:val="28"/>
          <w:lang w:eastAsia="zh-CN"/>
        </w:rPr>
      </w:pPr>
      <w:r>
        <w:rPr>
          <w:rFonts w:hint="eastAsia" w:hAnsi="宋体" w:cs="宋体"/>
          <w:sz w:val="28"/>
          <w:szCs w:val="28"/>
          <w:lang w:eastAsia="zh-CN"/>
        </w:rPr>
        <w:t>本</w:t>
      </w:r>
      <w:r>
        <w:rPr>
          <w:rFonts w:hAnsi="宋体" w:cs="宋体"/>
          <w:sz w:val="28"/>
          <w:szCs w:val="28"/>
          <w:lang w:eastAsia="zh-CN"/>
        </w:rPr>
        <w:t>发明的有益效果是：棱边检测模块、类别检测模块、分拣机构和控制模块协调运作，能实现对竹木条进行边缘缺损检测，对竹木条进行分拣装箱，全自动竹木条分拣，劳动强度小，生产效率高</w:t>
      </w:r>
      <w:r>
        <w:rPr>
          <w:rFonts w:hint="eastAsia" w:hAnsi="宋体" w:cs="宋体"/>
          <w:sz w:val="28"/>
          <w:szCs w:val="28"/>
          <w:lang w:eastAsia="zh-CN"/>
        </w:rPr>
        <w:t>。</w:t>
      </w:r>
    </w:p>
    <w:p>
      <w:pPr>
        <w:pStyle w:val="14"/>
        <w:spacing w:line="365" w:lineRule="exact"/>
        <w:ind w:firstLine="560" w:firstLineChars="200"/>
      </w:pPr>
      <w:r>
        <w:rPr>
          <w:rFonts w:hint="eastAsia"/>
          <w:sz w:val="28"/>
          <w:szCs w:val="28"/>
        </w:rPr>
        <w:t>在</w:t>
      </w:r>
      <w:r>
        <w:rPr>
          <w:sz w:val="28"/>
          <w:szCs w:val="28"/>
        </w:rPr>
        <w:t>上述技术方案的基础上，本发明还可以做如下改进。</w:t>
      </w:r>
    </w:p>
    <w:p>
      <w:pPr>
        <w:pStyle w:val="14"/>
        <w:spacing w:line="365" w:lineRule="exact"/>
        <w:ind w:firstLine="500" w:firstLineChars="250"/>
        <w:jc w:val="both"/>
        <w:rPr>
          <w:rFonts w:ascii="Times New Roman" w:eastAsia="Times New Roman"/>
          <w:sz w:val="28"/>
          <w:szCs w:val="28"/>
          <w:lang w:val="en-US" w:eastAsia="zh-CN" w:bidi="en-US"/>
        </w:rPr>
      </w:pPr>
      <w:r>
        <w:rPr>
          <w:rFonts w:ascii="Times New Roman" w:hAnsi="Times New Roman" w:eastAsia="Times New Roman" w:cs="Times New Roman"/>
          <w:sz w:val="20"/>
          <w:szCs w:val="20"/>
          <w:lang w:val="en-US" w:eastAsia="zh-CN" w:bidi="en-US"/>
        </w:rPr>
        <w:t xml:space="preserve"> </w:t>
      </w:r>
      <w:r>
        <w:rPr>
          <w:rFonts w:ascii="Times New Roman" w:eastAsia="Times New Roman"/>
          <w:sz w:val="28"/>
          <w:szCs w:val="28"/>
          <w:lang w:val="en-US" w:eastAsia="zh-CN" w:bidi="en-US"/>
        </w:rPr>
        <w:t>进一步，所述棱边检测模块包括第一检测组、第二检测组、第三检测组和第四检测组，所述第一检测组、第二检测组、第三检测组和第四检测组均与所述控制模块通过线路连接;所述第一检测组、第二检测组、第三检测组和第四检测组由前到后分别对竹木条的四个棱边进行完整性检测。</w:t>
      </w:r>
    </w:p>
    <w:p>
      <w:pPr>
        <w:pStyle w:val="14"/>
        <w:spacing w:line="370" w:lineRule="exact"/>
        <w:ind w:firstLine="560" w:firstLineChars="200"/>
        <w:jc w:val="both"/>
        <w:rPr>
          <w:rFonts w:ascii="Times New Roman" w:eastAsia="Times New Roman"/>
          <w:sz w:val="28"/>
          <w:szCs w:val="28"/>
          <w:lang w:val="en-US" w:eastAsia="zh-CN" w:bidi="en-US"/>
        </w:rPr>
      </w:pPr>
      <w:r>
        <w:rPr>
          <w:rFonts w:ascii="Times New Roman" w:eastAsia="Times New Roman"/>
          <w:sz w:val="28"/>
          <w:szCs w:val="28"/>
          <w:lang w:val="en-US" w:eastAsia="zh-CN" w:bidi="en-US"/>
        </w:rPr>
        <w:t xml:space="preserve"> 采用上述进一步方案的有益效果是:第一检测组、第二检测组、第三检测组和第四检测组由前到后分别对竹木条的四个棱边进行完整性检测，提升了检测精度和全面性，加快了检测速度。</w:t>
      </w:r>
    </w:p>
    <w:p>
      <w:pPr>
        <w:pStyle w:val="14"/>
        <w:spacing w:after="460" w:line="384" w:lineRule="exact"/>
        <w:ind w:firstLine="560" w:firstLineChars="200"/>
        <w:jc w:val="both"/>
        <w:rPr>
          <w:rFonts w:ascii="Times New Roman" w:eastAsia="Times New Roman"/>
          <w:sz w:val="28"/>
          <w:szCs w:val="28"/>
          <w:lang w:val="en-US" w:eastAsia="zh-CN" w:bidi="en-US"/>
        </w:rPr>
      </w:pPr>
      <w:r>
        <w:rPr>
          <w:rFonts w:ascii="Times New Roman" w:eastAsia="Times New Roman"/>
          <w:sz w:val="28"/>
          <w:szCs w:val="28"/>
          <w:lang w:val="en-US" w:eastAsia="zh-CN" w:bidi="en-US"/>
        </w:rPr>
        <w:t xml:space="preserve"> 进一步，所述第一检测组包括第一光电开关和第一光纤放大器，所述第一光电开关和第一光纤放大器均与所述控制模块通过线路连接；</w:t>
      </w:r>
    </w:p>
    <w:p>
      <w:pPr>
        <w:pStyle w:val="14"/>
        <w:spacing w:line="384" w:lineRule="exact"/>
        <w:ind w:firstLine="400" w:firstLineChars="200"/>
        <w:jc w:val="both"/>
        <w:rPr>
          <w:rFonts w:ascii="Times New Roman" w:hAnsi="Times New Roman" w:eastAsia="Times New Roman" w:cs="Times New Roman"/>
          <w:sz w:val="20"/>
          <w:szCs w:val="20"/>
          <w:lang w:val="en-US" w:eastAsia="zh-CN" w:bidi="en-US"/>
        </w:rPr>
        <w:sectPr>
          <w:headerReference r:id="rId5" w:type="default"/>
          <w:footerReference r:id="rId6" w:type="default"/>
          <w:pgSz w:w="11900" w:h="16840"/>
          <w:pgMar w:top="1130" w:right="1277" w:bottom="1800" w:left="1287" w:header="0" w:footer="3" w:gutter="0"/>
          <w:pgNumType w:start="1"/>
          <w:cols w:space="720" w:num="1"/>
          <w:docGrid w:linePitch="360" w:charSpace="0"/>
        </w:sectPr>
      </w:pP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所述第二检测组包括第二光电开关和第二光纤放大器，所述第二光电开关和第二光纤放大器均与所述控制模块通过线路连接；</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所述第三检测组包括第三光电开关和第三光纤放大器，所述第三光电开关和第三光纤放大器均与所述控制模块通过线路连接；</w:t>
      </w:r>
    </w:p>
    <w:p>
      <w:pPr>
        <w:pStyle w:val="14"/>
        <w:spacing w:line="384" w:lineRule="exact"/>
        <w:ind w:firstLine="560" w:firstLineChars="200"/>
        <w:rPr>
          <w:rFonts w:eastAsia="Times New Roman" w:cs="Times New Roman"/>
          <w:sz w:val="28"/>
          <w:szCs w:val="24"/>
          <w:lang w:val="en-US" w:eastAsia="zh-CN" w:bidi="en-US"/>
        </w:rPr>
      </w:pPr>
      <w:r>
        <w:rPr>
          <w:rFonts w:hint="eastAsia" w:eastAsia="Times New Roman" w:cs="Times New Roman"/>
          <w:sz w:val="28"/>
          <w:szCs w:val="24"/>
          <w:lang w:val="en-US" w:eastAsia="zh-CN" w:bidi="en-US"/>
        </w:rPr>
        <w:t>所述第四检测组包括第四光电开关和第四光纤放大器，所述第四光电开关和第四光纤放大器均与所述控制模块通过线路连接。</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采用上述进一步方案的有益效果是:第三光电开关能触发第三光纤放大器进行检测,检测效率高。</w:t>
      </w:r>
    </w:p>
    <w:p>
      <w:pPr>
        <w:pStyle w:val="14"/>
        <w:spacing w:line="362" w:lineRule="exact"/>
        <w:ind w:firstLine="560" w:firstLineChars="200"/>
      </w:pPr>
      <w:r>
        <w:rPr>
          <w:rFonts w:hint="eastAsia" w:eastAsia="Times New Roman" w:cs="Times New Roman"/>
          <w:sz w:val="28"/>
          <w:szCs w:val="24"/>
          <w:lang w:val="en-US" w:eastAsia="zh-CN" w:bidi="en-US"/>
        </w:rPr>
        <w:t>进一步，所述分拣机构包括第一传感器、第二传感器、输送组件、A分拣装置、B分拣装置至N分拣装置，所述第一传感器和第二传感器分别置于所述输送组件的前后两端;A分拣装置、B分拣装置至N分拣装置依次等间距排列在所述输送组件的上端;所述第一传感器、第二传感器和输送组件、A分拣装置、B分拣装置至N分拣装置均与所述控制模块通过驱动电路连接。</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采用上述进一步方案的有益效果是:第一传感器和第二传感器能根据竹木条的状况进行精准控制输送组件启停，传输效率高，降低能耗。</w:t>
      </w:r>
    </w:p>
    <w:p>
      <w:pPr>
        <w:pStyle w:val="14"/>
        <w:spacing w:line="384" w:lineRule="exact"/>
        <w:ind w:left="120" w:leftChars="50" w:firstLine="560" w:firstLineChars="200"/>
      </w:pPr>
      <w:r>
        <w:rPr>
          <w:rFonts w:hint="eastAsia" w:eastAsia="Times New Roman" w:cs="Times New Roman"/>
          <w:sz w:val="28"/>
          <w:szCs w:val="24"/>
          <w:lang w:val="en-US" w:eastAsia="zh-CN" w:bidi="en-US"/>
        </w:rPr>
        <w:t>本发明解决上述技术问题的另一技术方案如下：一种竹木条自动检测分选方法, 包括以下步骤：</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步骤S1.棱边检测模块实时并列检测竹木条的四个棱边的完整性，当检测到竹木条的棱边存在缺损时，则生成缺损信号传输至控制模块;控制模块根据缺损信号控制输入输出装置将竹木条传输至外部；当检测到竹木条的棱边不存在缺损时，则生成完整信号传输至控制模块;控制模块根据完整信号控制输入输出装置将竹木条传输至类别检测模块处；</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步骤S2.类别检测模块对竹木条进行类别检测，生成类别检测信号传输至控制模块;控制模块对类别检测信号进行判断，根据判断出竹木条的类别控制分拣机构将竹木条进行顺序计数分拣，分拣竹木条至对应箱体内。</w:t>
      </w:r>
    </w:p>
    <w:p>
      <w:pPr>
        <w:pStyle w:val="14"/>
        <w:spacing w:line="370" w:lineRule="exact"/>
        <w:ind w:firstLine="560" w:firstLineChars="200"/>
        <w:jc w:val="both"/>
      </w:pPr>
      <w:r>
        <w:rPr>
          <w:rFonts w:hint="eastAsia" w:eastAsia="Times New Roman" w:cs="Times New Roman"/>
          <w:sz w:val="28"/>
          <w:szCs w:val="24"/>
          <w:lang w:val="en-US" w:eastAsia="zh-CN" w:bidi="en-US"/>
        </w:rPr>
        <w:t>本发明的有益效果是:棱边检测模块、类别检测模块、分拣机构和控制模块协调运作，能实现对竹木条进行边缘缺损检测，对竹木条进行分拣装箱，全自动竹木条分拣,劳动强度小，生产效率高。</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在上述技术方案的基础上,本发明还可以做如下改进。</w:t>
      </w:r>
    </w:p>
    <w:p>
      <w:pPr>
        <w:pStyle w:val="14"/>
        <w:spacing w:line="384" w:lineRule="exact"/>
        <w:ind w:firstLine="560" w:firstLineChars="200"/>
        <w:rPr>
          <w:rFonts w:eastAsia="Times New Roman" w:cs="Times New Roman"/>
          <w:sz w:val="28"/>
          <w:szCs w:val="24"/>
          <w:lang w:val="en-US" w:eastAsia="zh-CN" w:bidi="en-US"/>
        </w:rPr>
      </w:pPr>
      <w:r>
        <w:rPr>
          <w:rFonts w:hint="eastAsia" w:eastAsia="Times New Roman" w:cs="Times New Roman"/>
          <w:sz w:val="28"/>
          <w:szCs w:val="24"/>
          <w:lang w:val="en-US" w:eastAsia="zh-CN" w:bidi="en-US"/>
        </w:rPr>
        <w:t>进一步，步骤S1具体包括以下步骤:所述棱边检测模块的第一检测组、第二检测组、第三检测组和第四检测组分别对竹木条的第一个棱边、第二个棱边、第三个棱边和第四个棱边的完整性进行检测;且第一检测组、第二检测组、第三检测组和第四检测组的检测方法一致。</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采用上述进一步方案的有益效果是:第一检测组、第二检测组、第三检测组和第四检测组由前到后分别对竹木条的四个棱边进行完整性检测，提升了检测精度和全面性，加快了检测速度。</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进一步，所述第一检测组的检测方法包括以下步骤：</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第一检测组的第一光电开关和第一光纤放大器的检测参数均为0,当第一光电开关检测到竹木条的头部,第一光电开关的检测参数由0变为1;竹木条继续传输至第一光纤放大器处对其第一棱边进行检测，第一光纤放大器的检测参数由0变为1;</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当第一光纤放大器检测到第一棱边的缺损处时，第一光纤放大器的检测参数由1变为0,再变为1;产生下降沿中断传输至控制模块,控制模块将缺损参数D1值加1；当第一光纤放大器检测到第一棱边无缺损时，第一光纤放大器的检测参数持续为1,不产生下降沿中断传输至控制模块；</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当竹木条全部通过第一光电开关后，第一光电开关的检测参数由1变为0；竹木条传输通过第一光纤放大器后，第一光纤放大器的检测参数由1变为0。</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采用上述进一步方案的有益效果是:根据第一光纤放大器和第一光电开关的检测参数变化，进行完整性检测，检测效率高，精度准。</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进一步，步骤S1具体还包括以下步骤:控制模块判第一检测组的断缺损参数D1、第二检测组的缺损参数D2、第三检测组的缺损参数D3和第四检测组的缺损参数D4是否均为零，</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当缺损参数D1、缺损参数D2、缺损参数D3或缺损参数D4不为零时，则控制输入输出装置将竹木条传输至外部；</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当缺损参数D1、缺损参数D2、缺损参数D3和缺损参数D4均为零时，则控制输入输出装置将竹木条传输至类别检测模块处。</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采用上述进一步方案的有益效果是:根据缺损参数D1、缺损参数D2、缺损参数D3和缺损参数D4进行判别竹木条是否缺损,数据处理效率高,数据处理精准。</w:t>
      </w:r>
    </w:p>
    <w:p>
      <w:pPr>
        <w:pStyle w:val="14"/>
        <w:tabs>
          <w:tab w:val="left" w:pos="835"/>
        </w:tabs>
        <w:spacing w:line="384" w:lineRule="auto"/>
        <w:ind w:firstLine="560" w:firstLineChars="200"/>
        <w:jc w:val="both"/>
      </w:pPr>
      <w:r>
        <w:rPr>
          <w:rFonts w:hint="eastAsia" w:eastAsia="Times New Roman" w:cs="Times New Roman"/>
          <w:sz w:val="28"/>
          <w:szCs w:val="24"/>
          <w:lang w:val="en-US" w:eastAsia="zh-CN" w:bidi="en-US"/>
        </w:rPr>
        <w:t>进一步，步骤S2具体包括以下步骤：</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步骤S21 .第一传感器感应到竹木条后，生成竹木条到位信号传输至控制模块,控制模块根据竹木条到位信号启动输送组件对竹木条进行输送；</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步骤S22.控制模块对类别检测信号进行判断，根据判断出竹木条的类别控制对应分拣装置分拣竹木条至对应箱体内；</w:t>
      </w:r>
    </w:p>
    <w:p>
      <w:pPr>
        <w:pStyle w:val="14"/>
        <w:spacing w:line="384" w:lineRule="exact"/>
        <w:ind w:firstLine="560" w:firstLineChars="200"/>
        <w:jc w:val="both"/>
      </w:pPr>
      <w:r>
        <w:rPr>
          <w:rFonts w:hint="eastAsia" w:eastAsia="Times New Roman" w:cs="Times New Roman"/>
          <w:sz w:val="28"/>
          <w:szCs w:val="24"/>
          <w:lang w:val="en-US" w:eastAsia="zh-CN" w:bidi="en-US"/>
        </w:rPr>
        <w:t>步骤S23.第二传感器感应输送组件上对应竹木条处，生成分拣到位信号传输至控制模块,控制模块根据分拣到位信号关停输送组件。</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采用上述进一步方案的有益效果是:对竹木条进行分拣装箱，全自动竹木条分拣,劳动强度小,生产效率高。</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进一步，步骤S22具体包括以下步骤：</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控制模块初始化竹木条的类别参数A等于0、类别参数B等于1至类别参数N等于n ；</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控制模块对类别检测信号进行判断，当判断竹木条的类别为A类,则控制A分拣装置对竹木条进行分拣装箱；</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 xml:space="preserve">当判断竹木条的类别为B类，同时控制输送组件输送竹木条1个单元距离,对类别参数B的值进行减1,至类别参数B的值等于0时,则控制B分拣装置对竹木条进行分拣装箱； </w:t>
      </w:r>
    </w:p>
    <w:p>
      <w:pPr>
        <w:pStyle w:val="14"/>
        <w:spacing w:line="384" w:lineRule="exact"/>
        <w:ind w:firstLine="560" w:firstLineChars="200"/>
        <w:jc w:val="both"/>
      </w:pPr>
      <w:r>
        <w:rPr>
          <w:rFonts w:hint="eastAsia" w:eastAsia="Times New Roman" w:cs="Times New Roman"/>
          <w:sz w:val="28"/>
          <w:szCs w:val="24"/>
          <w:lang w:val="en-US" w:eastAsia="zh-CN" w:bidi="en-US"/>
        </w:rPr>
        <w:t>当判断竹木条的类别为N类，同时控制输送组件输送竹木条n个单元距离,对类别参数N进行n次减1,至类别参数N的值等于0时,则控制N分拣装置对竹木条进行分拣装箱。</w:t>
      </w:r>
    </w:p>
    <w:p>
      <w:pPr>
        <w:pStyle w:val="14"/>
        <w:spacing w:line="384" w:lineRule="exact"/>
        <w:ind w:firstLine="560" w:firstLineChars="200"/>
        <w:jc w:val="both"/>
        <w:rPr>
          <w:rFonts w:eastAsia="Times New Roman" w:cs="Times New Roman"/>
          <w:sz w:val="28"/>
          <w:szCs w:val="24"/>
          <w:lang w:val="en-US" w:eastAsia="zh-CN" w:bidi="en-US"/>
        </w:rPr>
      </w:pPr>
      <w:r>
        <w:rPr>
          <w:rFonts w:hint="eastAsia" w:eastAsia="Times New Roman" w:cs="Times New Roman"/>
          <w:sz w:val="28"/>
          <w:szCs w:val="24"/>
          <w:lang w:val="en-US" w:eastAsia="zh-CN" w:bidi="en-US"/>
        </w:rPr>
        <w:t>采用上述进一步方案的有益效果是:控制模块、输送组件、A分拣装置、B分拣装置至N分拣装置协调运作,能将竹木条精准分拣装箱。</w:t>
      </w:r>
    </w:p>
    <w:p>
      <w:pPr>
        <w:pStyle w:val="14"/>
        <w:spacing w:after="80" w:line="240" w:lineRule="auto"/>
        <w:jc w:val="both"/>
      </w:pPr>
      <w:bookmarkStart w:id="3" w:name="_GoBack"/>
      <w:bookmarkEnd w:id="3"/>
    </w:p>
    <w:sectPr>
      <w:headerReference r:id="rId7" w:type="default"/>
      <w:pgSz w:w="11900" w:h="16840"/>
      <w:pgMar w:top="1130" w:right="1277" w:bottom="1800" w:left="1287" w:header="0" w:footer="3"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0" distR="0" simplePos="0" relativeHeight="251658240" behindDoc="1" locked="0" layoutInCell="1" allowOverlap="1">
              <wp:simplePos x="0" y="0"/>
              <wp:positionH relativeFrom="page">
                <wp:posOffset>3752215</wp:posOffset>
              </wp:positionH>
              <wp:positionV relativeFrom="page">
                <wp:posOffset>9852660</wp:posOffset>
              </wp:positionV>
              <wp:extent cx="52070" cy="88265"/>
              <wp:effectExtent l="0" t="0" r="0" b="0"/>
              <wp:wrapNone/>
              <wp:docPr id="4" name="Shape 4"/>
              <wp:cNvGraphicFramePr/>
              <a:graphic xmlns:a="http://schemas.openxmlformats.org/drawingml/2006/main">
                <a:graphicData uri="http://schemas.microsoft.com/office/word/2010/wordprocessingShape">
                  <wps:wsp>
                    <wps:cNvSpPr txBox="1"/>
                    <wps:spPr>
                      <a:xfrm>
                        <a:off x="0" y="0"/>
                        <a:ext cx="52070" cy="88265"/>
                      </a:xfrm>
                      <a:prstGeom prst="rect">
                        <a:avLst/>
                      </a:prstGeom>
                      <a:noFill/>
                    </wps:spPr>
                    <wps:txbx>
                      <w:txbxContent>
                        <w:p>
                          <w:pPr>
                            <w:pStyle w:val="10"/>
                          </w:pPr>
                        </w:p>
                      </w:txbxContent>
                    </wps:txbx>
                    <wps:bodyPr wrap="none" lIns="0" tIns="0" rIns="0" bIns="0">
                      <a:spAutoFit/>
                    </wps:bodyPr>
                  </wps:wsp>
                </a:graphicData>
              </a:graphic>
            </wp:anchor>
          </w:drawing>
        </mc:Choice>
        <mc:Fallback>
          <w:pict>
            <v:shape id="Shape 4" o:spid="_x0000_s1026" o:spt="202" type="#_x0000_t202" style="position:absolute;left:0pt;margin-left:295.45pt;margin-top:775.8pt;height:6.95pt;width:4.1pt;mso-position-horizontal-relative:page;mso-position-vertical-relative:page;mso-wrap-style:none;z-index:-251658240;mso-width-relative:page;mso-height-relative:page;" filled="f" stroked="f" coordsize="21600,21600" o:gfxdata="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IT1SLLXAAAADQEAAA8AAAAAAAAAAQAgAAAAIgAAAGRycy9kb3ducmV2&#10;LnhtbFBLAQIUABQAAAAIAIdO4kCXa8rciwEAAB8DAAAOAAAAAAAAAAEAIAAAACYBAABkcnMvZTJv&#10;RG9jLnhtbFBLBQYAAAAABgAGAFkBAAAjBQAAAAA=&#10;">
              <v:fill on="f" focussize="0,0"/>
              <v:stroke on="f"/>
              <v:imagedata o:title=""/>
              <o:lock v:ext="edit" aspectratio="f"/>
              <v:textbox inset="0mm,0mm,0mm,0mm" style="mso-fit-shape-to-text:t;">
                <w:txbxContent>
                  <w:p>
                    <w:pPr>
                      <w:pStyle w:val="1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57216" behindDoc="1" locked="0" layoutInCell="1" allowOverlap="1">
              <wp:simplePos x="0" y="0"/>
              <wp:positionH relativeFrom="page">
                <wp:posOffset>807720</wp:posOffset>
              </wp:positionH>
              <wp:positionV relativeFrom="page">
                <wp:posOffset>698500</wp:posOffset>
              </wp:positionV>
              <wp:extent cx="5937250" cy="0"/>
              <wp:effectExtent l="0" t="0" r="0" b="0"/>
              <wp:wrapNone/>
              <wp:docPr id="3" name="Shape 3"/>
              <wp:cNvGraphicFramePr/>
              <a:graphic xmlns:a="http://schemas.openxmlformats.org/drawingml/2006/main">
                <a:graphicData uri="http://schemas.microsoft.com/office/word/2010/wordprocessingShape">
                  <wps:wsp>
                    <wps:cNvCnPr/>
                    <wps:spPr>
                      <a:xfrm>
                        <a:off x="0" y="0"/>
                        <a:ext cx="5937250" cy="0"/>
                      </a:xfrm>
                      <a:prstGeom prst="straightConnector1">
                        <a:avLst/>
                      </a:prstGeom>
                      <a:ln w="12700">
                        <a:solidFill>
                          <a:srgbClr val="FFFFFF"/>
                        </a:solidFill>
                      </a:ln>
                    </wps:spPr>
                    <wps:bodyPr/>
                  </wps:wsp>
                </a:graphicData>
              </a:graphic>
            </wp:anchor>
          </w:drawing>
        </mc:Choice>
        <mc:Fallback>
          <w:pict>
            <v:shape id="Shape 3" o:spid="_x0000_s1026" o:spt="32" type="#_x0000_t32" style="position:absolute;left:0pt;margin-left:63.6pt;margin-top:55pt;height:0pt;width:467.5pt;mso-position-horizontal-relative:page;mso-position-vertical-relative:page;z-index:-251659264;mso-width-relative:page;mso-height-relative:page;" filled="f" stroked="t" coordsize="21600,21600" o:gfxdata="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tja+L1AAAAAwBAAAPAAAAAAAAAAEAIAAAACIAAABkcnMvZG93bnJldi54bWxQ&#10;SwECFAAUAAAACACHTuJA4b/CE4kBAAAMAwAADgAAAAAAAAABACAAAAAjAQAAZHJzL2Uyb0RvYy54&#10;bWxQSwUGAAAAAAYABgBZAQAAHgUAAAAA&#10;">
              <v:fill on="f" focussize="0,0"/>
              <v:stroke weight="1pt" color="#FFFFFF" joinstyle="round"/>
              <v:imagedata o:title=""/>
              <o:lock v:ext="edit" aspectratio="f"/>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58240" behindDoc="1" locked="0" layoutInCell="1" allowOverlap="1">
              <wp:simplePos x="0" y="0"/>
              <wp:positionH relativeFrom="page">
                <wp:posOffset>807720</wp:posOffset>
              </wp:positionH>
              <wp:positionV relativeFrom="page">
                <wp:posOffset>698500</wp:posOffset>
              </wp:positionV>
              <wp:extent cx="5937250" cy="0"/>
              <wp:effectExtent l="0" t="0" r="0" b="0"/>
              <wp:wrapNone/>
              <wp:docPr id="5" name="Shape 3"/>
              <wp:cNvGraphicFramePr/>
              <a:graphic xmlns:a="http://schemas.openxmlformats.org/drawingml/2006/main">
                <a:graphicData uri="http://schemas.microsoft.com/office/word/2010/wordprocessingShape">
                  <wps:wsp>
                    <wps:cNvCnPr/>
                    <wps:spPr>
                      <a:xfrm>
                        <a:off x="0" y="0"/>
                        <a:ext cx="5937250" cy="0"/>
                      </a:xfrm>
                      <a:prstGeom prst="straightConnector1">
                        <a:avLst/>
                      </a:prstGeom>
                      <a:ln w="12700">
                        <a:solidFill>
                          <a:srgbClr val="FFFFFF"/>
                        </a:solidFill>
                      </a:ln>
                    </wps:spPr>
                    <wps:bodyPr/>
                  </wps:wsp>
                </a:graphicData>
              </a:graphic>
            </wp:anchor>
          </w:drawing>
        </mc:Choice>
        <mc:Fallback>
          <w:pict>
            <v:shape id="Shape 3" o:spid="_x0000_s1026" o:spt="32" type="#_x0000_t32" style="position:absolute;left:0pt;margin-left:63.6pt;margin-top:55pt;height:0pt;width:467.5pt;mso-position-horizontal-relative:page;mso-position-vertical-relative:page;z-index:-251658240;mso-width-relative:page;mso-height-relative:page;" filled="f" stroked="t" coordsize="21600,21600" o:gfxdata="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tja+L1AAAAAwBAAAPAAAAAAAAAAEAIAAAACIAAABkcnMvZG93bnJldi54bWxQ&#10;SwECFAAUAAAACACHTuJAx8zoy4kBAAAMAwAADgAAAAAAAAABACAAAAAjAQAAZHJzL2Uyb0RvYy54&#10;bWxQSwUGAAAAAAYABgBZAQAAHgUAAAAA&#10;">
              <v:fill on="f" focussize="0,0"/>
              <v:stroke weight="1pt" color="#FFFFFF" joinstyle="round"/>
              <v:imagedata o:title=""/>
              <o:lock v:ext="edit" aspectratio="f"/>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D36"/>
    <w:rsid w:val="008A0D36"/>
    <w:rsid w:val="00955191"/>
    <w:rsid w:val="00FB6521"/>
    <w:rsid w:val="12FD7168"/>
    <w:rsid w:val="576D3BA5"/>
    <w:rsid w:val="64947A2E"/>
    <w:rsid w:val="70871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5"/>
    <w:uiPriority w:val="0"/>
    <w:pPr>
      <w:tabs>
        <w:tab w:val="center" w:pos="4153"/>
        <w:tab w:val="right" w:pos="8306"/>
      </w:tabs>
      <w:snapToGrid w:val="0"/>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4">
    <w:name w:val="Normal (Web)"/>
    <w:basedOn w:val="1"/>
    <w:semiHidden/>
    <w:unhideWhenUsed/>
    <w:qFormat/>
    <w:uiPriority w:val="99"/>
    <w:pPr>
      <w:widowControl/>
      <w:spacing w:before="100" w:beforeAutospacing="1" w:after="100" w:afterAutospacing="1"/>
    </w:pPr>
    <w:rPr>
      <w:rFonts w:ascii="宋体" w:hAnsi="宋体" w:eastAsia="宋体" w:cs="宋体"/>
    </w:rPr>
  </w:style>
  <w:style w:type="character" w:customStyle="1" w:styleId="7">
    <w:name w:val="Heading #1|1_"/>
    <w:basedOn w:val="6"/>
    <w:link w:val="8"/>
    <w:qFormat/>
    <w:uiPriority w:val="0"/>
    <w:rPr>
      <w:rFonts w:ascii="宋体" w:hAnsi="宋体" w:eastAsia="宋体" w:cs="宋体"/>
      <w:sz w:val="26"/>
      <w:szCs w:val="26"/>
      <w:u w:val="none"/>
      <w:shd w:val="clear" w:color="auto" w:fill="auto"/>
      <w:lang w:val="zh-TW" w:eastAsia="zh-TW" w:bidi="zh-TW"/>
    </w:rPr>
  </w:style>
  <w:style w:type="paragraph" w:customStyle="1" w:styleId="8">
    <w:name w:val="Heading #1|1"/>
    <w:basedOn w:val="1"/>
    <w:link w:val="7"/>
    <w:uiPriority w:val="0"/>
    <w:pPr>
      <w:spacing w:before="380" w:after="460"/>
      <w:jc w:val="center"/>
      <w:outlineLvl w:val="0"/>
    </w:pPr>
    <w:rPr>
      <w:rFonts w:ascii="宋体" w:hAnsi="宋体" w:eastAsia="宋体" w:cs="宋体"/>
      <w:sz w:val="26"/>
      <w:szCs w:val="26"/>
      <w:lang w:val="zh-TW" w:eastAsia="zh-TW" w:bidi="zh-TW"/>
    </w:rPr>
  </w:style>
  <w:style w:type="character" w:customStyle="1" w:styleId="9">
    <w:name w:val="Header or footer|2_"/>
    <w:basedOn w:val="6"/>
    <w:link w:val="10"/>
    <w:uiPriority w:val="0"/>
    <w:rPr>
      <w:sz w:val="20"/>
      <w:szCs w:val="20"/>
      <w:u w:val="none"/>
      <w:shd w:val="clear" w:color="auto" w:fill="auto"/>
    </w:rPr>
  </w:style>
  <w:style w:type="paragraph" w:customStyle="1" w:styleId="10">
    <w:name w:val="Header or footer|2"/>
    <w:basedOn w:val="1"/>
    <w:link w:val="9"/>
    <w:uiPriority w:val="0"/>
    <w:rPr>
      <w:sz w:val="20"/>
      <w:szCs w:val="20"/>
    </w:rPr>
  </w:style>
  <w:style w:type="character" w:customStyle="1" w:styleId="11">
    <w:name w:val="Heading #2|1_"/>
    <w:basedOn w:val="6"/>
    <w:link w:val="12"/>
    <w:uiPriority w:val="0"/>
    <w:rPr>
      <w:rFonts w:ascii="宋体" w:hAnsi="宋体" w:eastAsia="宋体" w:cs="宋体"/>
      <w:b/>
      <w:bCs/>
      <w:sz w:val="22"/>
      <w:szCs w:val="22"/>
      <w:u w:val="none"/>
      <w:shd w:val="clear" w:color="auto" w:fill="auto"/>
      <w:lang w:val="zh-TW" w:eastAsia="zh-TW" w:bidi="zh-TW"/>
    </w:rPr>
  </w:style>
  <w:style w:type="paragraph" w:customStyle="1" w:styleId="12">
    <w:name w:val="Heading #2|1"/>
    <w:basedOn w:val="1"/>
    <w:link w:val="11"/>
    <w:uiPriority w:val="0"/>
    <w:pPr>
      <w:spacing w:after="30"/>
      <w:outlineLvl w:val="1"/>
    </w:pPr>
    <w:rPr>
      <w:rFonts w:ascii="宋体" w:hAnsi="宋体" w:eastAsia="宋体" w:cs="宋体"/>
      <w:b/>
      <w:bCs/>
      <w:sz w:val="22"/>
      <w:szCs w:val="22"/>
      <w:lang w:val="zh-TW" w:eastAsia="zh-TW" w:bidi="zh-TW"/>
    </w:rPr>
  </w:style>
  <w:style w:type="character" w:customStyle="1" w:styleId="13">
    <w:name w:val="Body text|1_"/>
    <w:basedOn w:val="6"/>
    <w:link w:val="14"/>
    <w:uiPriority w:val="0"/>
    <w:rPr>
      <w:rFonts w:ascii="宋体" w:hAnsi="宋体" w:eastAsia="宋体" w:cs="宋体"/>
      <w:sz w:val="22"/>
      <w:szCs w:val="22"/>
      <w:u w:val="none"/>
      <w:shd w:val="clear" w:color="auto" w:fill="auto"/>
      <w:lang w:val="zh-TW" w:eastAsia="zh-TW" w:bidi="zh-TW"/>
    </w:rPr>
  </w:style>
  <w:style w:type="paragraph" w:customStyle="1" w:styleId="14">
    <w:name w:val="Body text|1"/>
    <w:basedOn w:val="1"/>
    <w:link w:val="13"/>
    <w:uiPriority w:val="0"/>
    <w:pPr>
      <w:spacing w:line="343" w:lineRule="auto"/>
    </w:pPr>
    <w:rPr>
      <w:rFonts w:ascii="宋体" w:hAnsi="宋体" w:eastAsia="宋体" w:cs="宋体"/>
      <w:sz w:val="22"/>
      <w:szCs w:val="22"/>
      <w:lang w:val="zh-TW" w:eastAsia="zh-TW" w:bidi="zh-TW"/>
    </w:rPr>
  </w:style>
  <w:style w:type="character" w:customStyle="1" w:styleId="15">
    <w:name w:val="页脚 字符"/>
    <w:basedOn w:val="6"/>
    <w:link w:val="2"/>
    <w:qFormat/>
    <w:uiPriority w:val="0"/>
    <w:rPr>
      <w:rFonts w:ascii="Times New Roman" w:hAnsi="Times New Roman" w:eastAsia="Times New Roman" w:cs="Times New Roman"/>
      <w:color w:val="000000"/>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4</Pages>
  <Words>484</Words>
  <Characters>2762</Characters>
  <Lines>23</Lines>
  <Paragraphs>6</Paragraphs>
  <TotalTime>24</TotalTime>
  <ScaleCrop>false</ScaleCrop>
  <LinksUpToDate>false</LinksUpToDate>
  <CharactersWithSpaces>3240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2020-12-27T12:56:00Z</dcterms:created>
  <dc:creator>cat</dc:creator>
  <cp:lastModifiedBy>蒙敏</cp:lastModifiedBy>
  <dcterms:modified xsi:type="dcterms:W3CDTF">2020-12-31T04:15:16Z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