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E0CA2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附件1           </w:t>
      </w:r>
    </w:p>
    <w:p w14:paraId="5406353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新生档案材料归档范围及要求</w:t>
      </w:r>
    </w:p>
    <w:p w14:paraId="16C7180F">
      <w:pPr>
        <w:ind w:firstLine="413" w:firstLineChars="147"/>
        <w:outlineLvl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一、本科生档案材料归档范围</w:t>
      </w:r>
    </w:p>
    <w:p w14:paraId="74850A7C"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（一）中学材料，包括高中毕业生登记表、高中学籍卡、学习成绩、奖惩材料等材料。</w:t>
      </w:r>
    </w:p>
    <w:p w14:paraId="0D724DF6"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（二）高考材料，主要包括高考报名登记表、政审表、体检表、志愿表等。</w:t>
      </w:r>
    </w:p>
    <w:p w14:paraId="0D981AF6"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（三）预科直升本科学生，预科期间的材料。</w:t>
      </w:r>
    </w:p>
    <w:p w14:paraId="252715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（四）广西师范大学学生入学登记卡。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入学登记卡信息由迎新系统自动生成（含已上传证件照，不得另行粘贴）。各学院（部）须统一打印一式两份，由学生本人签字并加盖学院公章（统一盖于左上角学院名称处）。一份归入学生本人档案袋，另一份按专业分类，依学号由小至大排序装订成册，移交至档案馆806室。移交时须附纸质版学生名单，并将对应电子版名单（含学号、姓名、专业、页码，Excel格式）以“学院（部）+专业名称”为主题，发送至邮箱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"https://mailto:365558653@qq.com/" \t "https://chat.deepseek.com/a/chat/s/_blank"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365558653@qq.com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。</w:t>
      </w:r>
    </w:p>
    <w:p w14:paraId="0797D0F8"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（五）团员材料（入团志愿书、入团申请书）</w:t>
      </w:r>
    </w:p>
    <w:p w14:paraId="772D0EB6"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（六）党员材料（</w:t>
      </w:r>
      <w:r>
        <w:rPr>
          <w:rFonts w:hint="eastAsia"/>
          <w:sz w:val="24"/>
          <w:szCs w:val="24"/>
          <w:u w:val="thick"/>
        </w:rPr>
        <w:t>仅移交正式中共党员材料</w:t>
      </w:r>
      <w:r>
        <w:rPr>
          <w:rFonts w:hint="eastAsia"/>
          <w:sz w:val="24"/>
          <w:szCs w:val="24"/>
        </w:rPr>
        <w:t>，主要包括入党申请书、入党志愿书、自传、转正申请书、培养考察表、政审材料等），</w:t>
      </w:r>
      <w:r>
        <w:rPr>
          <w:rFonts w:hint="eastAsia"/>
          <w:sz w:val="24"/>
          <w:szCs w:val="24"/>
          <w:u w:val="single"/>
        </w:rPr>
        <w:t>预备党员的有关材料暂由各学院（部）党委统一管理，并于学生毕业当年经各学院（部）党委审核无误后，向档案馆办理移交手续。</w:t>
      </w:r>
    </w:p>
    <w:p w14:paraId="3309D041">
      <w:pPr>
        <w:spacing w:line="360" w:lineRule="auto"/>
        <w:ind w:firstLine="643" w:firstLineChars="200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z w:val="32"/>
          <w:szCs w:val="32"/>
          <w:u w:val="single"/>
        </w:rPr>
        <w:t>重要提示：</w:t>
      </w:r>
      <w:r>
        <w:rPr>
          <w:rFonts w:hint="eastAsia" w:ascii="仿宋" w:hAnsi="仿宋" w:eastAsia="仿宋"/>
          <w:b/>
          <w:kern w:val="0"/>
          <w:sz w:val="32"/>
          <w:szCs w:val="32"/>
          <w:u w:val="single"/>
        </w:rPr>
        <w:t>请各学院（部）在新生档案移交前完成对正式党员的档案信息采集（如申请入党时间、预备党员时间、转正时间等），归档后无特殊情况不得到馆重复查询。其中，研究生新生正式党员的信息采集时间为各学院（部）研究生到档案馆整理档案的时间。</w:t>
      </w:r>
    </w:p>
    <w:p w14:paraId="1EE568B9"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（七）其他材料</w:t>
      </w:r>
    </w:p>
    <w:p w14:paraId="167C1FCD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材料整理完毕后，打开档案馆主页，登陆“学生档案管理系统”，录入材料明细。</w:t>
      </w:r>
    </w:p>
    <w:p w14:paraId="26374C46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注：1.</w:t>
      </w:r>
      <w:r>
        <w:rPr>
          <w:rFonts w:hint="eastAsia" w:ascii="宋体" w:hAnsi="宋体"/>
          <w:sz w:val="24"/>
          <w:szCs w:val="24"/>
          <w:u w:val="single"/>
        </w:rPr>
        <w:t>团员证、团组织关系介绍信、党组织关系介绍信、户口迁移证、高考准考证、录取通知书、各种获奖证书等材料</w:t>
      </w:r>
      <w:r>
        <w:rPr>
          <w:rFonts w:hint="eastAsia" w:ascii="宋体" w:hAnsi="宋体"/>
          <w:b/>
          <w:sz w:val="32"/>
          <w:szCs w:val="32"/>
          <w:u w:val="single"/>
        </w:rPr>
        <w:t>不归入</w:t>
      </w:r>
      <w:r>
        <w:rPr>
          <w:rFonts w:hint="eastAsia" w:ascii="宋体" w:hAnsi="宋体"/>
          <w:sz w:val="24"/>
          <w:szCs w:val="24"/>
          <w:u w:val="single"/>
        </w:rPr>
        <w:t>个人档案袋。</w:t>
      </w:r>
    </w:p>
    <w:p w14:paraId="28B9FE36">
      <w:pPr>
        <w:spacing w:line="360" w:lineRule="auto"/>
        <w:ind w:firstLine="360" w:firstLineChars="1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2.填写档案袋封面时，</w:t>
      </w:r>
      <w:r>
        <w:rPr>
          <w:rFonts w:hint="eastAsia" w:ascii="宋体" w:hAnsi="宋体"/>
          <w:sz w:val="24"/>
          <w:szCs w:val="24"/>
          <w:u w:val="single"/>
        </w:rPr>
        <w:t>请写份数，不要打勾</w:t>
      </w:r>
      <w:r>
        <w:rPr>
          <w:rFonts w:hint="eastAsia" w:ascii="宋体" w:hAnsi="宋体"/>
          <w:sz w:val="24"/>
          <w:szCs w:val="24"/>
        </w:rPr>
        <w:t>。归档材料如有信封袋包装，需拆封、展开并把材料归入广西师范大学学生档案袋，原有信封袋不归档。</w:t>
      </w:r>
    </w:p>
    <w:p w14:paraId="73B5E954">
      <w:pPr>
        <w:spacing w:line="360" w:lineRule="auto"/>
        <w:ind w:firstLine="600" w:firstLineChars="2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3.档案袋封面上没列有的，归为其他材料。</w:t>
      </w:r>
    </w:p>
    <w:p w14:paraId="402A164E">
      <w:pPr>
        <w:spacing w:line="360" w:lineRule="auto"/>
        <w:outlineLvl w:val="0"/>
        <w:rPr>
          <w:rFonts w:hint="eastAsia" w:ascii="宋体" w:hAnsi="宋体"/>
          <w:b/>
          <w:sz w:val="28"/>
          <w:szCs w:val="28"/>
        </w:rPr>
      </w:pPr>
    </w:p>
    <w:p w14:paraId="7D7F0FE5">
      <w:pPr>
        <w:spacing w:line="360" w:lineRule="auto"/>
        <w:ind w:firstLine="413" w:firstLineChars="147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二、研究生档案材料归档范围</w:t>
      </w:r>
    </w:p>
    <w:p w14:paraId="53A27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 w:firstLineChars="15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（一）中学阶段材料（同本科生）</w:t>
      </w:r>
    </w:p>
    <w:p w14:paraId="20899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 w:firstLineChars="15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（二）本科阶段学历材料（主要包括高校学生入学登记表、实习鉴定表、学生成绩单、高校毕业生登记表、学士学位授予材料、奖惩材料等）</w:t>
      </w:r>
    </w:p>
    <w:p w14:paraId="2F95E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 w:firstLineChars="15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（三）报考材料包括报考攻读硕士学位研究生登记表、推荐免试攻读硕士学位研究生登记表、报考攻读博士学位研究生登记表、体检表、政审表、入学考试成绩等材料。</w:t>
      </w:r>
    </w:p>
    <w:p w14:paraId="33847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 w:firstLineChars="150"/>
        <w:textAlignment w:val="auto"/>
        <w:rPr>
          <w:rFonts w:ascii="宋体" w:hAnsi="宋体"/>
          <w:color w:val="FF000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（四）博士研究生，除高中、本科阶段的材料</w:t>
      </w:r>
      <w:r>
        <w:rPr>
          <w:rFonts w:hint="eastAsia" w:ascii="宋体" w:hAnsi="宋体"/>
          <w:sz w:val="24"/>
          <w:szCs w:val="24"/>
          <w:lang w:eastAsia="zh-CN"/>
        </w:rPr>
        <w:t>外</w:t>
      </w:r>
      <w:bookmarkStart w:id="4" w:name="_GoBack"/>
      <w:bookmarkEnd w:id="4"/>
      <w:r>
        <w:rPr>
          <w:rFonts w:hint="eastAsia" w:ascii="宋体" w:hAnsi="宋体"/>
          <w:sz w:val="24"/>
          <w:szCs w:val="24"/>
        </w:rPr>
        <w:t>，还应有硕士阶段的学历材料。硕士阶段学历材料主要包括研究生入学登记表、硕士研究生成绩单、硕士学位论文评阅书、毕业研究生登记表、硕士学位申请书或评定书、授予硕士学位的文件材料等。</w:t>
      </w:r>
    </w:p>
    <w:p w14:paraId="14194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 w:firstLineChars="15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（五）入学前工作期间材料（应届本科、硕士毕业生除外）</w:t>
      </w:r>
    </w:p>
    <w:p w14:paraId="4BF61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 w:firstLineChars="15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（六）团员、党员材料、奖惩材料（同本科生）</w:t>
      </w:r>
    </w:p>
    <w:p w14:paraId="46660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 w:firstLineChars="15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（七）其他材料</w:t>
      </w:r>
    </w:p>
    <w:p w14:paraId="6BFF9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注：团员证、团组织关系介绍信、党组织关系介绍信、户口迁移证、高考准考证、录取通知书、各种获奖证书等材料</w:t>
      </w:r>
      <w:r>
        <w:rPr>
          <w:rFonts w:hint="eastAsia" w:ascii="宋体" w:hAnsi="宋体"/>
          <w:sz w:val="24"/>
          <w:szCs w:val="24"/>
          <w:u w:val="single"/>
        </w:rPr>
        <w:t>不属归档范围</w:t>
      </w:r>
      <w:r>
        <w:rPr>
          <w:rFonts w:hint="eastAsia" w:ascii="宋体" w:hAnsi="宋体"/>
          <w:sz w:val="24"/>
          <w:szCs w:val="24"/>
        </w:rPr>
        <w:t>。</w:t>
      </w:r>
    </w:p>
    <w:p w14:paraId="602BA0C2">
      <w:pPr>
        <w:spacing w:line="360" w:lineRule="auto"/>
        <w:ind w:firstLine="551" w:firstLineChars="196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 、新生档案材料的整理与移交</w:t>
      </w:r>
    </w:p>
    <w:p w14:paraId="5C19DB4A">
      <w:pPr>
        <w:spacing w:line="360" w:lineRule="auto"/>
        <w:ind w:firstLine="354" w:firstLineChars="147"/>
        <w:outlineLvl w:val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（一）档案材料整理</w:t>
      </w:r>
    </w:p>
    <w:p w14:paraId="5CB65EFA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档案材料整理前需填写档案袋封面有关项目（用黑色墨水填写）。如学生姓名、性别、学院、专业、籍贯、学号；</w:t>
      </w:r>
      <w:r>
        <w:rPr>
          <w:rFonts w:hint="eastAsia" w:ascii="宋体" w:hAnsi="宋体"/>
          <w:b/>
          <w:bCs/>
          <w:sz w:val="32"/>
          <w:szCs w:val="32"/>
        </w:rPr>
        <w:t>政治面貌暂时可不填写</w:t>
      </w:r>
      <w:r>
        <w:rPr>
          <w:rFonts w:hint="eastAsia" w:ascii="宋体" w:hAnsi="宋体"/>
          <w:sz w:val="32"/>
          <w:szCs w:val="32"/>
        </w:rPr>
        <w:t>。</w:t>
      </w:r>
    </w:p>
    <w:p w14:paraId="7D38E74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yellow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档案材料整理分为材料的鉴别、分类、记录、装袋。整理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工作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坚持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逐个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处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理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原则，即整理人员每人每次只整理一名学生的档案材料；材料的鉴别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与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整理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应严格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照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归档范围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进行，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整理人员须认真审核每一份材料，凡不属于归档范围的，可退还学生本人或由所在学院（部）留存，无需装入档案袋；分类是指依据档案袋封面所列内容对材料进行类型划分；记录是指在完成每一类材料的分类后，统计其份数并登记在档案袋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封面上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；装袋是指在材料完成鉴别、分类和记录后，将其规范装入档案袋。最后，档案袋按专业及学号顺序进行排列。</w:t>
      </w:r>
    </w:p>
    <w:p w14:paraId="0B558FA6">
      <w:pPr>
        <w:spacing w:line="360" w:lineRule="auto"/>
        <w:ind w:firstLine="354" w:firstLineChars="147"/>
        <w:outlineLvl w:val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（二）档案材料信息录入系统</w:t>
      </w:r>
    </w:p>
    <w:p w14:paraId="7AF9B20D">
      <w:pPr>
        <w:spacing w:line="360" w:lineRule="auto"/>
        <w:ind w:firstLine="470" w:firstLineChars="196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档案材料整理后，登录广西师范大学学生档案信息管理系统，准确录入学生档案材料信息。录入学生档案材料信息的方法和要求，请下载附件3：学生档案信息管理系统操作说明（学院版）。</w:t>
      </w:r>
    </w:p>
    <w:p w14:paraId="27441CC1">
      <w:pPr>
        <w:spacing w:line="360" w:lineRule="auto"/>
        <w:ind w:firstLine="352" w:firstLineChars="146"/>
        <w:jc w:val="left"/>
        <w:outlineLvl w:val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（三）本科生新生档案材料的归档</w:t>
      </w:r>
    </w:p>
    <w:p w14:paraId="3F4F0CA3"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本科生档案材料整理一律在各学院</w:t>
      </w:r>
      <w:r>
        <w:rPr>
          <w:rFonts w:hint="eastAsia"/>
          <w:sz w:val="24"/>
          <w:szCs w:val="24"/>
          <w:u w:val="single"/>
        </w:rPr>
        <w:t>（部）</w:t>
      </w:r>
      <w:r>
        <w:rPr>
          <w:rFonts w:hint="eastAsia" w:ascii="宋体" w:hAnsi="宋体"/>
          <w:sz w:val="24"/>
          <w:szCs w:val="24"/>
        </w:rPr>
        <w:t>进行，各学院</w:t>
      </w:r>
      <w:r>
        <w:rPr>
          <w:rFonts w:hint="eastAsia"/>
          <w:sz w:val="24"/>
          <w:szCs w:val="24"/>
          <w:u w:val="single"/>
        </w:rPr>
        <w:t>（部）</w:t>
      </w:r>
      <w:r>
        <w:rPr>
          <w:rFonts w:hint="eastAsia" w:ascii="宋体" w:hAnsi="宋体"/>
          <w:sz w:val="24"/>
          <w:szCs w:val="24"/>
        </w:rPr>
        <w:t>要落实好人员和场地、设备。</w:t>
      </w:r>
    </w:p>
    <w:p w14:paraId="07C9AAA9">
      <w:pPr>
        <w:spacing w:line="360" w:lineRule="auto"/>
        <w:ind w:firstLine="482" w:firstLineChars="200"/>
        <w:jc w:val="left"/>
        <w:rPr>
          <w:rFonts w:ascii="宋体" w:hAnsi="宋体"/>
          <w:b/>
          <w:sz w:val="24"/>
          <w:szCs w:val="24"/>
          <w:u w:val="single"/>
        </w:rPr>
      </w:pPr>
      <w:bookmarkStart w:id="0" w:name="OLE_LINK2"/>
      <w:bookmarkStart w:id="1" w:name="OLE_LINK1"/>
      <w:r>
        <w:rPr>
          <w:rFonts w:hint="eastAsia" w:ascii="宋体" w:hAnsi="宋体"/>
          <w:b/>
          <w:sz w:val="24"/>
          <w:szCs w:val="24"/>
          <w:u w:val="single"/>
        </w:rPr>
        <w:t>新生</w:t>
      </w:r>
      <w:r>
        <w:rPr>
          <w:rFonts w:hint="eastAsia"/>
          <w:b/>
          <w:sz w:val="24"/>
          <w:szCs w:val="24"/>
          <w:u w:val="single"/>
        </w:rPr>
        <w:t>高考报名登记表</w:t>
      </w:r>
      <w:r>
        <w:rPr>
          <w:rFonts w:hint="eastAsia" w:ascii="宋体" w:hAnsi="宋体"/>
          <w:b/>
          <w:sz w:val="24"/>
          <w:szCs w:val="24"/>
          <w:u w:val="single"/>
        </w:rPr>
        <w:t>需各学院（部）到招生办领取</w:t>
      </w:r>
      <w:bookmarkEnd w:id="0"/>
      <w:bookmarkEnd w:id="1"/>
      <w:r>
        <w:rPr>
          <w:rFonts w:hint="eastAsia" w:ascii="宋体" w:hAnsi="宋体"/>
          <w:b/>
          <w:sz w:val="24"/>
          <w:szCs w:val="24"/>
          <w:u w:val="single"/>
        </w:rPr>
        <w:t>后装入档案袋内，各学院（部）整理归档后再移交档案馆。</w:t>
      </w:r>
    </w:p>
    <w:p w14:paraId="665FBFD4">
      <w:pPr>
        <w:spacing w:line="360" w:lineRule="auto"/>
        <w:ind w:firstLine="354" w:firstLineChars="147"/>
        <w:jc w:val="left"/>
        <w:outlineLvl w:val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（四）研究生新生档案材料的归档</w:t>
      </w:r>
    </w:p>
    <w:p w14:paraId="60AF0F2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71A1D"/>
          <w:sz w:val="24"/>
          <w:szCs w:val="24"/>
        </w:rPr>
        <w:t>我校2025级研究生录取阶段的档案已寄送至档案馆保管。研究生报考登记表由各学院（部）先至招生办公室领取，随后安排专人前往档案馆学生档案室，完成材料的审核整理及系统信息录入工作</w:t>
      </w:r>
      <w:r>
        <w:rPr>
          <w:rFonts w:hint="eastAsia" w:ascii="宋体" w:hAnsi="宋体" w:eastAsia="宋体" w:cs="宋体"/>
          <w:color w:val="171A1D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具体时间安排见表2。</w:t>
      </w:r>
    </w:p>
    <w:p w14:paraId="52158C08">
      <w:pPr>
        <w:spacing w:line="360" w:lineRule="auto"/>
        <w:ind w:firstLine="354" w:firstLineChars="147"/>
        <w:outlineLvl w:val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（五）档案材料移交</w:t>
      </w:r>
    </w:p>
    <w:p w14:paraId="2F447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准确在系统录入学生档案材料信息后，打印“本科生（或硕士生、博士生）档案材料移交登记表”一式两份，且由分管辅导员签字、参与整理人员签字并盖学院（部）公章，连同新生档案向学生档案室办理验收，验收合格后完成移交手续。各学院（部）本科生档案移交归档时间安排见表1，研究生档案移交归档时间安排见表2。</w:t>
      </w:r>
    </w:p>
    <w:p w14:paraId="603C9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b/>
          <w:sz w:val="28"/>
          <w:szCs w:val="28"/>
        </w:rPr>
      </w:pPr>
      <w:r>
        <w:rPr>
          <w:rFonts w:hint="eastAsia" w:ascii="宋体" w:hAnsi="宋体"/>
          <w:sz w:val="24"/>
          <w:szCs w:val="24"/>
        </w:rPr>
        <w:t>各学院（部）本科生档案移交归档时间安排见表1，研究生档案移交归档时间安排见表2。</w:t>
      </w:r>
    </w:p>
    <w:p w14:paraId="2D184D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表1：本科生新生档案移交时间安排表</w:t>
      </w:r>
    </w:p>
    <w:tbl>
      <w:tblPr>
        <w:tblStyle w:val="5"/>
        <w:tblpPr w:leftFromText="180" w:rightFromText="180" w:vertAnchor="text" w:horzAnchor="page" w:tblpX="489" w:tblpY="321"/>
        <w:tblOverlap w:val="never"/>
        <w:tblW w:w="11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2419"/>
        <w:gridCol w:w="1632"/>
        <w:gridCol w:w="1762"/>
        <w:gridCol w:w="1800"/>
        <w:gridCol w:w="1969"/>
      </w:tblGrid>
      <w:tr w14:paraId="13E91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757" w:type="dxa"/>
            <w:vAlign w:val="center"/>
          </w:tcPr>
          <w:p w14:paraId="7EA82E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时间</w:t>
            </w:r>
          </w:p>
        </w:tc>
        <w:tc>
          <w:tcPr>
            <w:tcW w:w="2419" w:type="dxa"/>
            <w:vAlign w:val="center"/>
          </w:tcPr>
          <w:p w14:paraId="0C41BC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10月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1632" w:type="dxa"/>
            <w:vAlign w:val="center"/>
          </w:tcPr>
          <w:p w14:paraId="720F4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10月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1762" w:type="dxa"/>
            <w:vAlign w:val="center"/>
          </w:tcPr>
          <w:p w14:paraId="4162B8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10月1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1800" w:type="dxa"/>
            <w:vAlign w:val="center"/>
          </w:tcPr>
          <w:p w14:paraId="0294F4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10月1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1969" w:type="dxa"/>
            <w:vAlign w:val="center"/>
          </w:tcPr>
          <w:p w14:paraId="5284BB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10月1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</w:tr>
      <w:tr w14:paraId="7E482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</w:trPr>
        <w:tc>
          <w:tcPr>
            <w:tcW w:w="1757" w:type="dxa"/>
            <w:vAlign w:val="center"/>
          </w:tcPr>
          <w:p w14:paraId="0A038D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9：00—12：00</w:t>
            </w:r>
          </w:p>
        </w:tc>
        <w:tc>
          <w:tcPr>
            <w:tcW w:w="2419" w:type="dxa"/>
            <w:vAlign w:val="center"/>
          </w:tcPr>
          <w:p w14:paraId="67FB70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数学与统计学院</w:t>
            </w:r>
            <w:bookmarkStart w:id="2" w:name="OLE_LINK4"/>
            <w:bookmarkStart w:id="3" w:name="OLE_LINK3"/>
          </w:p>
          <w:bookmarkEnd w:id="2"/>
          <w:bookmarkEnd w:id="3"/>
          <w:p w14:paraId="67BB1B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计算机科学与工程学院/软件学院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/人工智能学院</w:t>
            </w:r>
          </w:p>
          <w:p w14:paraId="6E6B0D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法学院</w:t>
            </w:r>
          </w:p>
        </w:tc>
        <w:tc>
          <w:tcPr>
            <w:tcW w:w="1632" w:type="dxa"/>
            <w:vAlign w:val="center"/>
          </w:tcPr>
          <w:p w14:paraId="5F3CC6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5" w:firstLineChars="5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教育学部/教师教育学院</w:t>
            </w:r>
          </w:p>
          <w:p w14:paraId="38C9C1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5" w:firstLineChars="5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美术学院</w:t>
            </w:r>
          </w:p>
        </w:tc>
        <w:tc>
          <w:tcPr>
            <w:tcW w:w="1762" w:type="dxa"/>
            <w:vAlign w:val="center"/>
          </w:tcPr>
          <w:p w14:paraId="607BCC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化学与药学学院</w:t>
            </w:r>
          </w:p>
          <w:p w14:paraId="5B5855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经济管理学院</w:t>
            </w:r>
          </w:p>
        </w:tc>
        <w:tc>
          <w:tcPr>
            <w:tcW w:w="1800" w:type="dxa"/>
            <w:vAlign w:val="center"/>
          </w:tcPr>
          <w:p w14:paraId="097FC9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生命科学学院</w:t>
            </w:r>
          </w:p>
          <w:p w14:paraId="74AB0A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音乐学院</w:t>
            </w:r>
          </w:p>
        </w:tc>
        <w:tc>
          <w:tcPr>
            <w:tcW w:w="1969" w:type="dxa"/>
            <w:vAlign w:val="center"/>
          </w:tcPr>
          <w:p w14:paraId="751F9D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职业技术师范学院</w:t>
            </w:r>
          </w:p>
          <w:p w14:paraId="107267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历史文化与旅游学院</w:t>
            </w:r>
          </w:p>
        </w:tc>
      </w:tr>
      <w:tr w14:paraId="35EBA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1757" w:type="dxa"/>
            <w:vAlign w:val="center"/>
          </w:tcPr>
          <w:p w14:paraId="32CE69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14</w:t>
            </w: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t>30—16：30</w:t>
            </w:r>
          </w:p>
        </w:tc>
        <w:tc>
          <w:tcPr>
            <w:tcW w:w="2419" w:type="dxa"/>
            <w:vAlign w:val="center"/>
          </w:tcPr>
          <w:p w14:paraId="5D037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物理科学与技术学院</w:t>
            </w:r>
          </w:p>
          <w:p w14:paraId="135F55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政治与公共管理学院</w:t>
            </w:r>
          </w:p>
        </w:tc>
        <w:tc>
          <w:tcPr>
            <w:tcW w:w="1632" w:type="dxa"/>
            <w:vAlign w:val="center"/>
          </w:tcPr>
          <w:p w14:paraId="602B4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电子工程学院/集成电路学院</w:t>
            </w:r>
          </w:p>
          <w:p w14:paraId="7CAD2A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外国语学院</w:t>
            </w:r>
          </w:p>
        </w:tc>
        <w:tc>
          <w:tcPr>
            <w:tcW w:w="1762" w:type="dxa"/>
            <w:vAlign w:val="center"/>
          </w:tcPr>
          <w:p w14:paraId="269D0C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马克思主义学院</w:t>
            </w:r>
          </w:p>
          <w:p w14:paraId="1ABCB9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文学院/新闻与传播学院</w:t>
            </w:r>
          </w:p>
        </w:tc>
        <w:tc>
          <w:tcPr>
            <w:tcW w:w="1800" w:type="dxa"/>
            <w:vAlign w:val="center"/>
          </w:tcPr>
          <w:p w14:paraId="5A7F00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体育与健康学院</w:t>
            </w:r>
          </w:p>
          <w:p w14:paraId="371D38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环境与资源学院</w:t>
            </w:r>
          </w:p>
        </w:tc>
        <w:tc>
          <w:tcPr>
            <w:tcW w:w="1969" w:type="dxa"/>
            <w:vAlign w:val="center"/>
          </w:tcPr>
          <w:p w14:paraId="29C7C6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设计学院</w:t>
            </w:r>
          </w:p>
          <w:p w14:paraId="24F2E3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 w14:paraId="7FA8C3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rFonts w:hint="eastAsia"/>
          <w:b/>
          <w:sz w:val="28"/>
          <w:szCs w:val="28"/>
        </w:rPr>
      </w:pPr>
    </w:p>
    <w:p w14:paraId="2CAF88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表2：研究生新生档案移交归档时间安排表</w:t>
      </w:r>
    </w:p>
    <w:tbl>
      <w:tblPr>
        <w:tblStyle w:val="5"/>
        <w:tblpPr w:leftFromText="180" w:rightFromText="180" w:vertAnchor="text" w:horzAnchor="page" w:tblpX="621" w:tblpY="84"/>
        <w:tblOverlap w:val="never"/>
        <w:tblW w:w="10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9"/>
        <w:gridCol w:w="2565"/>
        <w:gridCol w:w="1921"/>
        <w:gridCol w:w="2594"/>
        <w:gridCol w:w="2041"/>
      </w:tblGrid>
      <w:tr w14:paraId="7BB1D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859" w:type="dxa"/>
            <w:vAlign w:val="center"/>
          </w:tcPr>
          <w:p w14:paraId="5B44E0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时    间</w:t>
            </w:r>
          </w:p>
        </w:tc>
        <w:tc>
          <w:tcPr>
            <w:tcW w:w="2565" w:type="dxa"/>
            <w:vAlign w:val="center"/>
          </w:tcPr>
          <w:p w14:paraId="4BA4E9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9月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1921" w:type="dxa"/>
            <w:vAlign w:val="center"/>
          </w:tcPr>
          <w:p w14:paraId="66C76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9月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2594" w:type="dxa"/>
            <w:vAlign w:val="center"/>
          </w:tcPr>
          <w:p w14:paraId="46E32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9月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2041" w:type="dxa"/>
            <w:vAlign w:val="center"/>
          </w:tcPr>
          <w:p w14:paraId="53F627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9月2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</w:tr>
      <w:tr w14:paraId="6A9F2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1859" w:type="dxa"/>
            <w:vAlign w:val="center"/>
          </w:tcPr>
          <w:p w14:paraId="388AA4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9：00—17：00</w:t>
            </w:r>
          </w:p>
        </w:tc>
        <w:tc>
          <w:tcPr>
            <w:tcW w:w="2565" w:type="dxa"/>
            <w:vAlign w:val="center"/>
          </w:tcPr>
          <w:p w14:paraId="2C115F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物理科学与技术学院</w:t>
            </w:r>
          </w:p>
          <w:p w14:paraId="7AA7DF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电子工程学院/集成电路学院</w:t>
            </w:r>
          </w:p>
          <w:p w14:paraId="113CF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经济管理学院</w:t>
            </w:r>
          </w:p>
        </w:tc>
        <w:tc>
          <w:tcPr>
            <w:tcW w:w="1921" w:type="dxa"/>
            <w:vAlign w:val="center"/>
          </w:tcPr>
          <w:p w14:paraId="2B6968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马克思主义学院</w:t>
            </w:r>
          </w:p>
          <w:p w14:paraId="37F5D2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体育与健康学院</w:t>
            </w:r>
          </w:p>
          <w:p w14:paraId="28075E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历史文化与旅游学院</w:t>
            </w:r>
          </w:p>
        </w:tc>
        <w:tc>
          <w:tcPr>
            <w:tcW w:w="2594" w:type="dxa"/>
            <w:vAlign w:val="center"/>
          </w:tcPr>
          <w:p w14:paraId="617D9C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教育学部/教师教育学院</w:t>
            </w:r>
          </w:p>
          <w:p w14:paraId="200679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文学院/新闻与传播学院</w:t>
            </w:r>
          </w:p>
        </w:tc>
        <w:tc>
          <w:tcPr>
            <w:tcW w:w="2041" w:type="dxa"/>
            <w:vAlign w:val="center"/>
          </w:tcPr>
          <w:p w14:paraId="0F482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化学与药学学院</w:t>
            </w:r>
          </w:p>
          <w:p w14:paraId="2D6BBF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生命科学学院</w:t>
            </w:r>
          </w:p>
          <w:p w14:paraId="5EDE5D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美术学院</w:t>
            </w:r>
          </w:p>
        </w:tc>
      </w:tr>
      <w:tr w14:paraId="23117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59" w:type="dxa"/>
            <w:vAlign w:val="center"/>
          </w:tcPr>
          <w:p w14:paraId="1D464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时    间</w:t>
            </w:r>
          </w:p>
        </w:tc>
        <w:tc>
          <w:tcPr>
            <w:tcW w:w="2565" w:type="dxa"/>
            <w:vAlign w:val="center"/>
          </w:tcPr>
          <w:p w14:paraId="433C4A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9月2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1921" w:type="dxa"/>
            <w:vAlign w:val="center"/>
          </w:tcPr>
          <w:p w14:paraId="4F9DC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9月2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2594" w:type="dxa"/>
            <w:vAlign w:val="center"/>
          </w:tcPr>
          <w:p w14:paraId="6CA47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54" w:firstLineChars="147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9月2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  <w:tc>
          <w:tcPr>
            <w:tcW w:w="2041" w:type="dxa"/>
            <w:vAlign w:val="center"/>
          </w:tcPr>
          <w:p w14:paraId="4696D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54" w:firstLineChars="147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9月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日</w:t>
            </w:r>
          </w:p>
        </w:tc>
      </w:tr>
      <w:tr w14:paraId="33DE4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59" w:type="dxa"/>
            <w:vAlign w:val="center"/>
          </w:tcPr>
          <w:p w14:paraId="6C203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9：00—17：00</w:t>
            </w:r>
          </w:p>
        </w:tc>
        <w:tc>
          <w:tcPr>
            <w:tcW w:w="2565" w:type="dxa"/>
            <w:vAlign w:val="center"/>
          </w:tcPr>
          <w:p w14:paraId="3F46E2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数学与统计学院</w:t>
            </w:r>
          </w:p>
          <w:p w14:paraId="7BAE56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外国语学院</w:t>
            </w:r>
          </w:p>
        </w:tc>
        <w:tc>
          <w:tcPr>
            <w:tcW w:w="1921" w:type="dxa"/>
            <w:vAlign w:val="center"/>
          </w:tcPr>
          <w:p w14:paraId="5D48D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设计学院</w:t>
            </w:r>
          </w:p>
          <w:p w14:paraId="225771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法学院</w:t>
            </w:r>
          </w:p>
          <w:p w14:paraId="2EDDAE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shd w:val="clear" w:color="auto" w:fill="FFFFFF"/>
              </w:rPr>
              <w:t>图书情报研究所</w:t>
            </w:r>
          </w:p>
        </w:tc>
        <w:tc>
          <w:tcPr>
            <w:tcW w:w="2594" w:type="dxa"/>
            <w:vAlign w:val="center"/>
          </w:tcPr>
          <w:p w14:paraId="7E4777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计算机科学与工程学院/软件学院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/人工智能学院</w:t>
            </w:r>
          </w:p>
          <w:p w14:paraId="01498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政治与公共管理学院</w:t>
            </w:r>
          </w:p>
          <w:p w14:paraId="3048F1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音乐学院</w:t>
            </w:r>
          </w:p>
          <w:p w14:paraId="6D2E0A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4416D3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职业技术师范学院</w:t>
            </w:r>
          </w:p>
          <w:p w14:paraId="29BF8D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环境与资源学院</w:t>
            </w:r>
          </w:p>
          <w:p w14:paraId="457C0D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</w:tr>
    </w:tbl>
    <w:p w14:paraId="694E3875">
      <w:pPr>
        <w:ind w:right="393" w:rightChars="187"/>
        <w:jc w:val="both"/>
        <w:rPr>
          <w:rFonts w:hint="eastAsia" w:eastAsia="宋体"/>
          <w:b/>
          <w:sz w:val="28"/>
          <w:szCs w:val="28"/>
          <w:lang w:eastAsia="zh-CN"/>
        </w:rPr>
        <w:sectPr>
          <w:headerReference r:id="rId3" w:type="default"/>
          <w:footerReference r:id="rId4" w:type="default"/>
          <w:pgSz w:w="11906" w:h="16838"/>
          <w:pgMar w:top="680" w:right="850" w:bottom="680" w:left="85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docGrid w:type="lines" w:linePitch="321" w:charSpace="0"/>
        </w:sectPr>
      </w:pPr>
    </w:p>
    <w:p w14:paraId="1D28CC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09D6C6"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2" name="文本框 10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802A7C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- 18 -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6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ql5uc8AAAAFAQAADwAAAAAAAAABACAAAAAi&#10;AAAAZHJzL2Rvd25yZXYueG1sUEsBAhQAFAAAAAgAh07iQLlM/JbaAQAAtwMAAA4AAAAAAAAAAQAg&#10;AAAAHgEAAGRycy9lMm9Eb2MueG1sUEsFBgAAAAAGAAYAWQEAAG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3802A7C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- 18 -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FECA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B62B4"/>
    <w:rsid w:val="017345F2"/>
    <w:rsid w:val="28B26BB7"/>
    <w:rsid w:val="50DB6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2421</Words>
  <Characters>2479</Characters>
  <Lines>0</Lines>
  <Paragraphs>0</Paragraphs>
  <TotalTime>1</TotalTime>
  <ScaleCrop>false</ScaleCrop>
  <LinksUpToDate>false</LinksUpToDate>
  <CharactersWithSpaces>2501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2025-09-01T08:55:00Z</dcterms:created>
  <dc:creator>09张晓文</dc:creator>
  <cp:lastModifiedBy>09张晓文</cp:lastModifiedBy>
  <dcterms:modified xsi:type="dcterms:W3CDTF">2025-09-03T03:01:52Z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3B378A60164E4C7393993DF8C11AF2DE_11</vt:lpwstr>
  </property>
  <property fmtid="{D5CDD505-2E9C-101B-9397-08002B2CF9AE}" pid="4" name="KSOTemplateDocerSaveRecord">
    <vt:lpwstr>eyJoZGlkIjoiZGJmYzk4NzhmMDM0NDg4NzU0NTdkMGUwZGExOGRmZTQiLCJ1c2VySWQiOiIyOTkyNjczNjMifQ==</vt:lpwstr>
  </property>
</Properties>
</file>