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附件1</w:t>
      </w:r>
    </w:p>
    <w:p>
      <w:pPr>
        <w:spacing w:line="66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</w:rPr>
      </w:pPr>
    </w:p>
    <w:p>
      <w:pPr>
        <w:spacing w:line="66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color w:val="auto"/>
          <w:sz w:val="44"/>
          <w:szCs w:val="44"/>
        </w:rPr>
        <w:t>广西教育科学“十四五”规划职业教育</w:t>
      </w:r>
    </w:p>
    <w:p>
      <w:pPr>
        <w:spacing w:line="660" w:lineRule="exact"/>
        <w:jc w:val="center"/>
        <w:rPr>
          <w:rFonts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重大课题选题指南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复杂局面下的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广西中等职业教育就业、升学价值导向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分析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及其制度建设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2.广西县域职业教育对地方经济社会发展的支撑作用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研究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及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其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定性定量分析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3.广西职业教育分类考试实施方案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研究及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设计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4.广西产业、教育、智库融合的一般性问题及其解决方案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5.RCEP背景下广西职业教育面临的机遇和挑战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64A6039-B3ED-4432-9294-475E9564AFDC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C6AD603E-ECB3-471A-86C5-941B65F0F91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64B22438-5740-4798-BE78-9ECBD960CAA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yNjRiOGVjNGQ4OGM0YzEzYzQ1MWZkNTM4MWNiNmEifQ=="/>
  </w:docVars>
  <w:rsids>
    <w:rsidRoot w:val="493A4339"/>
    <w:rsid w:val="493A4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2022-12-07T09:37:00Z</dcterms:created>
  <dc:creator>黄克</dc:creator>
  <cp:lastModifiedBy>黄克</cp:lastModifiedBy>
  <dcterms:modified xsi:type="dcterms:W3CDTF">2022-12-07T09:40:48Z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3D6CDACA37F34D47A72931EB20738C0E</vt:lpwstr>
  </property>
</Properties>
</file>