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jc w:val="both"/>
        <w:rPr>
          <w:b/>
          <w:bCs/>
        </w:rPr>
      </w:pPr>
      <w:r>
        <w:rPr>
          <w:rFonts w:hint="eastAsia"/>
          <w:b/>
          <w:bCs/>
        </w:rPr>
        <w:t>附件：</w:t>
      </w:r>
    </w:p>
    <w:p>
      <w:pPr>
        <w:pStyle w:val="5"/>
        <w:spacing w:line="360" w:lineRule="auto"/>
        <w:jc w:val="center"/>
        <w:rPr>
          <w:rFonts w:asciiTheme="majorEastAsia" w:hAnsiTheme="majorEastAsia" w:eastAsiaTheme="majorEastAsia"/>
          <w:b/>
        </w:rPr>
      </w:pPr>
      <w:r>
        <w:rPr>
          <w:rFonts w:hint="eastAsia" w:asciiTheme="majorEastAsia" w:hAnsiTheme="majorEastAsia" w:eastAsiaTheme="majorEastAsia"/>
          <w:b/>
        </w:rPr>
        <w:t>拟转让发明专利简介</w:t>
      </w:r>
    </w:p>
    <w:p>
      <w:pPr>
        <w:adjustRightInd w:val="0"/>
        <w:snapToGrid w:val="0"/>
        <w:spacing w:line="400" w:lineRule="exact"/>
        <w:rPr>
          <w:rFonts w:ascii="宋体" w:hAnsi="宋体"/>
          <w:b/>
          <w:bCs/>
          <w:color w:val="000000"/>
          <w:szCs w:val="21"/>
        </w:rPr>
      </w:pPr>
      <w:r>
        <w:rPr>
          <w:rFonts w:hint="eastAsia" w:ascii="宋体" w:hAnsi="宋体"/>
          <w:b/>
          <w:bCs/>
          <w:color w:val="000000"/>
          <w:szCs w:val="21"/>
        </w:rPr>
        <w:t>一、</w:t>
      </w:r>
      <w:r>
        <w:rPr>
          <w:rFonts w:ascii="宋体" w:hAnsi="宋体"/>
          <w:b/>
          <w:bCs/>
          <w:color w:val="000000"/>
          <w:szCs w:val="21"/>
        </w:rPr>
        <w:t>技术领域</w:t>
      </w:r>
    </w:p>
    <w:p>
      <w:pPr>
        <w:adjustRightInd w:val="0"/>
        <w:snapToGrid w:val="0"/>
        <w:spacing w:line="400" w:lineRule="exact"/>
        <w:ind w:firstLine="420" w:firstLineChars="200"/>
        <w:rPr>
          <w:rFonts w:ascii="宋体" w:hAnsi="宋体"/>
          <w:bCs/>
          <w:color w:val="000000"/>
          <w:szCs w:val="21"/>
        </w:rPr>
      </w:pPr>
      <w:r>
        <w:rPr>
          <w:rFonts w:hint="eastAsia" w:ascii="宋体" w:hAnsi="宋体"/>
          <w:bCs/>
          <w:color w:val="000000"/>
          <w:szCs w:val="21"/>
        </w:rPr>
        <w:t>本发明涉及一种智能充电控制器，本发明还涉及一种智能充电控制器控制充电的方法。</w:t>
      </w:r>
    </w:p>
    <w:p>
      <w:pPr>
        <w:adjustRightInd w:val="0"/>
        <w:snapToGrid w:val="0"/>
        <w:spacing w:line="400" w:lineRule="exact"/>
        <w:rPr>
          <w:rFonts w:ascii="宋体" w:hAnsi="宋体"/>
          <w:b/>
          <w:bCs/>
          <w:color w:val="000000"/>
          <w:szCs w:val="21"/>
        </w:rPr>
      </w:pPr>
    </w:p>
    <w:p>
      <w:pPr>
        <w:adjustRightInd w:val="0"/>
        <w:snapToGrid w:val="0"/>
        <w:spacing w:line="400" w:lineRule="exact"/>
        <w:rPr>
          <w:rFonts w:ascii="宋体" w:hAnsi="宋体"/>
          <w:color w:val="000000"/>
          <w:szCs w:val="21"/>
        </w:rPr>
      </w:pPr>
      <w:r>
        <w:rPr>
          <w:rFonts w:hint="eastAsia" w:ascii="宋体" w:hAnsi="宋体"/>
          <w:b/>
          <w:bCs/>
          <w:color w:val="000000"/>
          <w:szCs w:val="21"/>
        </w:rPr>
        <w:t>二、</w:t>
      </w:r>
      <w:r>
        <w:rPr>
          <w:rFonts w:ascii="宋体" w:hAnsi="宋体"/>
          <w:b/>
          <w:bCs/>
          <w:color w:val="000000"/>
          <w:szCs w:val="21"/>
        </w:rPr>
        <w:t>背景技术</w:t>
      </w:r>
    </w:p>
    <w:p>
      <w:pPr>
        <w:adjustRightInd w:val="0"/>
        <w:snapToGrid w:val="0"/>
        <w:spacing w:line="360" w:lineRule="auto"/>
        <w:ind w:firstLine="420" w:firstLineChars="200"/>
        <w:rPr>
          <w:rFonts w:ascii="宋体" w:hAnsi="宋体"/>
          <w:bCs/>
          <w:color w:val="000000"/>
          <w:szCs w:val="21"/>
        </w:rPr>
      </w:pPr>
      <w:r>
        <w:rPr>
          <w:rFonts w:hint="eastAsia" w:ascii="宋体" w:hAnsi="宋体"/>
          <w:bCs/>
          <w:color w:val="000000"/>
          <w:szCs w:val="21"/>
        </w:rPr>
        <w:t>随着工业的发展和居民家用电器的增加，对电力需求度越来越高，特别反映在居民用电的方面。用户对电量的需求因时间段不同负载也相应变化，而用电高峰期主要集中在早上上班前和晚上下班后，给电网带来很大的压力，电力部门愿意以更低的价格出售给避开负载高峰时段的用户，达到居民分时段进行用电的目的，从而缓解电网用电高峰期的压力；如在深夜或凌晨为用电低谷时段，这个时段人们处于睡眠的时间段，从而需要提供一种智能化的装置代理人们对该时段的电量进行使用。</w:t>
      </w:r>
    </w:p>
    <w:p>
      <w:pPr>
        <w:adjustRightInd w:val="0"/>
        <w:snapToGrid w:val="0"/>
        <w:spacing w:line="360" w:lineRule="auto"/>
        <w:rPr>
          <w:rFonts w:ascii="宋体" w:hAnsi="宋体"/>
          <w:b/>
          <w:bCs/>
          <w:color w:val="000000"/>
          <w:szCs w:val="21"/>
        </w:rPr>
      </w:pPr>
      <w:r>
        <w:rPr>
          <w:rFonts w:hint="eastAsia" w:ascii="宋体" w:hAnsi="宋体"/>
          <w:b/>
          <w:bCs/>
          <w:color w:val="000000"/>
          <w:szCs w:val="21"/>
        </w:rPr>
        <w:t>三、发明</w:t>
      </w:r>
      <w:r>
        <w:rPr>
          <w:rFonts w:ascii="宋体" w:hAnsi="宋体"/>
          <w:b/>
          <w:bCs/>
          <w:color w:val="000000"/>
          <w:szCs w:val="21"/>
        </w:rPr>
        <w:t>内容</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本发明所要解决的技术问题是提供一种智能充电控制器及其控制方法，不仅能控制目标充电设备进行快速充电，还能在客户指定的时间范围内，自动筛选并计算出能完成整个充电任务的各个预充电时段，控制目标充电设备在各个预充电时间内进行充电，达到缓解电网用电高峰期压力的目的。</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本发明解决上述技术问题的技术方案如下：一种智能充电控制器，包括控制器本体，所述控制器本体的内部设有依次连接的选择模块、设置模块、读取导入模块、数据处理单元、配置单元、控制模块和时钟模块；</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所述选择模块，用于提供充电方式，包括快速充电方式和智能充电方式；</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所述设置模块，用于供用户设置完成充电的最迟的时间Tdl；</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所述时钟模块，用于提供当前时间Tcur；</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读取导入模块，用于读取用户设置的时间Tdl、目标充电设备当前电量Ncur的值以及当前时间Tcur，并通过数据接口导入数据信息，包括用电量信息表、额定充电速度S和目标充电器最大电量存储值Nmax，一并发送至所述数据处理单元中；</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数据处理单元，用于保存所述读取导入模块发送来的数据；处理用电量信息表，将用电量信息表中的各个时间段和各个时间段对应的用电量数值一一保存；并计算出用户设置完成充电的时间长度值T以及目标充电设备以快速充电方式将电量充满所需的充电时间T’；并将T与T’进行比较，判断是否满足智能充电方式的条件；</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配置单元，根据所述数据处理单元保存的用电量信息表，筛选出Tcur～Tdl范围内最小的用电量数值所对应的时间段，作为预充电时间段，并计算出使目标充电器充满所需的各个预充电时间段，并一一保存各个预充电时间段；</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充电控制模块，用于控制目标充电设备进行快速充电或智能充电，如果以快速充电的形式充电，则控制目标充电设备直接进行快速充电；如果以智能充电的形式充电，则从配置单元中提取使目标充电设备充满所需的各个预充电时间段，并按时间的先后顺序进行排序，再控制目标充电设备依次在各个预充电时间段内进行充电。在上述技术方案的基础上，本发明还可以做如下改进。</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进一步，所述数据处理单元包括数据处理保存模块、计算模块和判断模块；</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所述数据处理保存模块，用于处理并保存所述读取导入模块发送来的数据，从用电量信息表中，找出各个时间段所对应的用电量数值，并将各个时间段和各个时间段对应的用电量数值进行存储；</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计算模块，用于利用公式Ns=Nmax-Ncur计算出目标充电设备需充电的电量值Ns，并利用公式T=Tdl-Tcur计算出用户设置完成充电的时间长度值T，再利用公式T’=Ns/S计算出对目标充电设备以快速充电方式将电量充满所需的充电时间T’；若用户设置的Tdl为第二天的时间n点，则Tdl为n+24x1，若用户设置的Tdl为第二天的时间n点，则Tdl为n+24x2，以此类推。</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所述判断模块，将T与T’进行比较，如果T大于T’，则满足智能充电方式的条件，否则，不满足智能充电方式的条件，则以快速充电方式进行充电。</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进一步，所述配置单元包括提取模块、充电时间段筛选模块、筛选控制模块和保存模块；</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提取模块，用于根据当前时间Tcur和用户设置的所述时间Tdl，确定从开始到结束充电的时间范围Tcur～Tdl，并从用电量信息表中提取属于Tcur～Tdl时间范围内的充电时间段和所对应的用电量数值，生成Tcur～Tdl时间范围内的用电量信息表；</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充电时间段筛选模块，根据所述Tcur～Tdl时间范围内的用电量信息表，筛选出最小的用电量数值所对应的时间段，作为预充电时间段，并将该预充电时间段发送至筛选控制模块，再从当前的用电量信息表中剔除该预充电时间段及对应的用电量数值，更新该用电量信息表；</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筛选控制模块，根据充电时间段筛选模块发来的预充电时间段，计算出在该预充电时间段内是否能将目标充电设备还需充电的电量充满，如果能充满，根据目标充电设备还需充电的电量值除以充电速度S，计算出该预充电时间段内所需充电的时间，将该预充电时间段的起点时间加上已计算出的所述所需充电时间，得到新的预充电时间段，并将该新的预充电时间段发送至保存模块；如果不能充满，将该预充电时间段发送至保存模块，并计算在已确定的预充电时间段内进行充电后，目标充电设备还需充电的电量值；</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所述保存模块，用于保存各个预充电时间段的信息。</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进一步，所述用电量信息表为时间段数据和各个时间段对应的用电量数值的组合，或者为时间段数据和各个时间段对应的电价数值的组合。</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进一步，所述快速充电方式为充电时间不间断的充电方式。</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本智能充电控制器上还包括电源模块和开关机模块。</w:t>
      </w:r>
    </w:p>
    <w:p>
      <w:pPr>
        <w:adjustRightInd w:val="0"/>
        <w:snapToGrid w:val="0"/>
        <w:spacing w:line="360" w:lineRule="auto"/>
        <w:ind w:firstLine="420" w:firstLineChars="200"/>
        <w:rPr>
          <w:rFonts w:ascii="Times New Roman" w:hAnsi="Times New Roman" w:cs="Times New Roman"/>
          <w:bCs/>
          <w:color w:val="000000"/>
          <w:szCs w:val="21"/>
        </w:rPr>
      </w:pPr>
      <w:r>
        <w:rPr>
          <w:rFonts w:ascii="Times New Roman" w:hAnsi="Times New Roman" w:cs="Times New Roman"/>
          <w:bCs/>
          <w:color w:val="000000"/>
          <w:szCs w:val="21"/>
        </w:rPr>
        <w:t>本发明的有益效果是：不仅能控制目标充电设备进行快速充电，还能在指定的时间范围内智能选择预充电时间段进行充电，对于不急需充电、充电时间灵活的用户，该智能充电控制器可使用户的充电代价最小，也缓解电网用电高峰期的压力。</w:t>
      </w:r>
      <w:bookmarkStart w:id="0" w:name="_GoBack"/>
      <w:bookmarkEnd w:id="0"/>
    </w:p>
    <w:p>
      <w:pPr>
        <w:adjustRightInd w:val="0"/>
        <w:snapToGrid w:val="0"/>
        <w:spacing w:line="360" w:lineRule="auto"/>
        <w:ind w:firstLine="480" w:firstLineChars="200"/>
        <w:rPr>
          <w:rFonts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E496D"/>
    <w:rsid w:val="000620C3"/>
    <w:rsid w:val="00086FE4"/>
    <w:rsid w:val="001E206D"/>
    <w:rsid w:val="002471E4"/>
    <w:rsid w:val="00360234"/>
    <w:rsid w:val="00371580"/>
    <w:rsid w:val="003E0AB2"/>
    <w:rsid w:val="003E2E4B"/>
    <w:rsid w:val="00421187"/>
    <w:rsid w:val="00432B5D"/>
    <w:rsid w:val="005A713B"/>
    <w:rsid w:val="00694649"/>
    <w:rsid w:val="00712815"/>
    <w:rsid w:val="00760859"/>
    <w:rsid w:val="007B66A1"/>
    <w:rsid w:val="007E496D"/>
    <w:rsid w:val="00855292"/>
    <w:rsid w:val="00A44548"/>
    <w:rsid w:val="00B07115"/>
    <w:rsid w:val="00B30344"/>
    <w:rsid w:val="00BA6096"/>
    <w:rsid w:val="00EA637E"/>
    <w:rsid w:val="00F44AE2"/>
    <w:rsid w:val="178C749F"/>
    <w:rsid w:val="29000557"/>
    <w:rsid w:val="2BC84A3E"/>
    <w:rsid w:val="3B306A7D"/>
    <w:rsid w:val="43CC72AC"/>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字符"/>
    <w:basedOn w:val="7"/>
    <w:link w:val="4"/>
    <w:qFormat/>
    <w:uiPriority w:val="99"/>
    <w:rPr>
      <w:kern w:val="2"/>
      <w:sz w:val="18"/>
      <w:szCs w:val="18"/>
    </w:rPr>
  </w:style>
  <w:style w:type="character" w:customStyle="1" w:styleId="9">
    <w:name w:val="页脚 字符"/>
    <w:basedOn w:val="7"/>
    <w:link w:val="3"/>
    <w:uiPriority w:val="99"/>
    <w:rPr>
      <w:kern w:val="2"/>
      <w:sz w:val="18"/>
      <w:szCs w:val="18"/>
    </w:rPr>
  </w:style>
  <w:style w:type="paragraph" w:customStyle="1" w:styleId="10">
    <w:name w:val="正文1"/>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字符"/>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680</Words>
  <Characters>3881</Characters>
  <Lines>32</Lines>
  <Paragraphs>9</Paragraphs>
  <TotalTime>27</TotalTime>
  <ScaleCrop>false</ScaleCrop>
  <LinksUpToDate>false</LinksUpToDate>
  <CharactersWithSpaces>4552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Administrator</cp:lastModifiedBy>
  <dcterms:modified xsi:type="dcterms:W3CDTF">2021-10-15T01:10:04Z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D6262E0C69144B2ABE72E9FC6F32AA96</vt:lpwstr>
  </property>
</Properties>
</file>