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DEAB98">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firstLine="0" w:firstLineChars="0"/>
        <w:jc w:val="left"/>
        <w:textAlignment w:val="auto"/>
        <w:outlineLvl w:val="9"/>
        <w:rPr>
          <w:rFonts w:hint="default" w:ascii="Times New Roman" w:hAnsi="Times New Roman" w:eastAsia="黑体" w:cs="Times New Roman"/>
          <w:b w:val="0"/>
          <w:bCs/>
          <w:color w:val="auto"/>
          <w:sz w:val="32"/>
          <w:szCs w:val="32"/>
          <w:highlight w:val="none"/>
          <w:lang w:val="en-US" w:eastAsia="zh-CN"/>
        </w:rPr>
      </w:pPr>
      <w:bookmarkStart w:id="2" w:name="_GoBack"/>
      <w:bookmarkEnd w:id="2"/>
      <w:r>
        <w:rPr>
          <w:rFonts w:hint="default" w:ascii="Times New Roman" w:hAnsi="Times New Roman" w:eastAsia="黑体" w:cs="Times New Roman"/>
          <w:b w:val="0"/>
          <w:bCs/>
          <w:color w:val="auto"/>
          <w:sz w:val="32"/>
          <w:szCs w:val="32"/>
          <w:highlight w:val="none"/>
          <w:lang w:eastAsia="zh-CN"/>
        </w:rPr>
        <w:t>附件</w:t>
      </w:r>
      <w:r>
        <w:rPr>
          <w:rFonts w:hint="eastAsia" w:ascii="Times New Roman" w:hAnsi="Times New Roman" w:eastAsia="黑体" w:cs="Times New Roman"/>
          <w:b w:val="0"/>
          <w:bCs/>
          <w:color w:val="auto"/>
          <w:sz w:val="32"/>
          <w:szCs w:val="32"/>
          <w:highlight w:val="none"/>
          <w:lang w:val="en-US" w:eastAsia="zh-CN"/>
        </w:rPr>
        <w:t>1—4</w:t>
      </w:r>
    </w:p>
    <w:p w14:paraId="0ABBA9F1">
      <w:pPr>
        <w:keepNext w:val="0"/>
        <w:keepLines w:val="0"/>
        <w:pageBreakBefore w:val="0"/>
        <w:widowControl w:val="0"/>
        <w:kinsoku/>
        <w:overflowPunct/>
        <w:topLinePunct w:val="0"/>
        <w:autoSpaceDE/>
        <w:autoSpaceDN/>
        <w:bidi w:val="0"/>
        <w:spacing w:line="580" w:lineRule="exact"/>
        <w:jc w:val="center"/>
        <w:rPr>
          <w:rFonts w:hint="default" w:ascii="Times New Roman" w:hAnsi="Times New Roman" w:eastAsia="仿宋_GB2312" w:cs="Times New Roman"/>
          <w:snapToGrid w:val="0"/>
          <w:color w:val="auto"/>
          <w:sz w:val="32"/>
          <w:szCs w:val="32"/>
          <w:highlight w:val="none"/>
        </w:rPr>
      </w:pPr>
    </w:p>
    <w:p w14:paraId="2EA7211B">
      <w:pPr>
        <w:keepNext w:val="0"/>
        <w:keepLines w:val="0"/>
        <w:pageBreakBefore w:val="0"/>
        <w:widowControl w:val="0"/>
        <w:kinsoku/>
        <w:overflowPunct/>
        <w:topLinePunct w:val="0"/>
        <w:autoSpaceDE/>
        <w:autoSpaceDN/>
        <w:bidi w:val="0"/>
        <w:spacing w:line="580" w:lineRule="exact"/>
        <w:jc w:val="center"/>
        <w:rPr>
          <w:rStyle w:val="19"/>
          <w:rFonts w:hint="eastAsia" w:ascii="方正小标宋简体" w:hAnsi="方正小标宋简体" w:eastAsia="方正小标宋简体" w:cs="方正小标宋简体"/>
          <w:bCs/>
          <w:color w:val="auto"/>
          <w:sz w:val="44"/>
          <w:szCs w:val="44"/>
        </w:rPr>
      </w:pPr>
      <w:r>
        <w:rPr>
          <w:rStyle w:val="19"/>
          <w:rFonts w:hint="eastAsia" w:ascii="方正小标宋简体" w:hAnsi="方正小标宋简体" w:eastAsia="方正小标宋简体" w:cs="方正小标宋简体"/>
          <w:bCs/>
          <w:color w:val="auto"/>
          <w:sz w:val="44"/>
          <w:szCs w:val="44"/>
        </w:rPr>
        <w:t>广西海洋药物和生物制品全产业链科技创新</w:t>
      </w:r>
      <w:r>
        <w:rPr>
          <w:rStyle w:val="19"/>
          <w:rFonts w:hint="eastAsia" w:ascii="方正小标宋简体" w:hAnsi="方正小标宋简体" w:eastAsia="方正小标宋简体" w:cs="方正小标宋简体"/>
          <w:bCs/>
          <w:color w:val="auto"/>
          <w:sz w:val="44"/>
          <w:szCs w:val="44"/>
          <w:lang w:eastAsia="zh-CN"/>
        </w:rPr>
        <w:t>“</w:t>
      </w:r>
      <w:r>
        <w:rPr>
          <w:rStyle w:val="19"/>
          <w:rFonts w:hint="eastAsia" w:ascii="方正小标宋简体" w:hAnsi="方正小标宋简体" w:eastAsia="方正小标宋简体" w:cs="方正小标宋简体"/>
          <w:bCs/>
          <w:color w:val="auto"/>
          <w:sz w:val="44"/>
          <w:szCs w:val="44"/>
        </w:rPr>
        <w:t>尖锋</w:t>
      </w:r>
      <w:r>
        <w:rPr>
          <w:rStyle w:val="19"/>
          <w:rFonts w:hint="eastAsia" w:ascii="方正小标宋简体" w:hAnsi="方正小标宋简体" w:eastAsia="方正小标宋简体" w:cs="方正小标宋简体"/>
          <w:bCs/>
          <w:color w:val="auto"/>
          <w:sz w:val="44"/>
          <w:szCs w:val="44"/>
          <w:lang w:eastAsia="zh-CN"/>
        </w:rPr>
        <w:t>”</w:t>
      </w:r>
      <w:r>
        <w:rPr>
          <w:rStyle w:val="19"/>
          <w:rFonts w:hint="eastAsia" w:ascii="方正小标宋简体" w:hAnsi="方正小标宋简体" w:eastAsia="方正小标宋简体" w:cs="方正小标宋简体"/>
          <w:bCs/>
          <w:color w:val="auto"/>
          <w:sz w:val="44"/>
          <w:szCs w:val="44"/>
        </w:rPr>
        <w:t>专项2025年项目申报指南</w:t>
      </w:r>
    </w:p>
    <w:p w14:paraId="1AD1C506">
      <w:pPr>
        <w:keepNext w:val="0"/>
        <w:keepLines w:val="0"/>
        <w:pageBreakBefore w:val="0"/>
        <w:widowControl w:val="0"/>
        <w:kinsoku/>
        <w:overflowPunct/>
        <w:topLinePunct w:val="0"/>
        <w:autoSpaceDE/>
        <w:autoSpaceDN/>
        <w:bidi w:val="0"/>
        <w:spacing w:line="580" w:lineRule="exact"/>
        <w:jc w:val="center"/>
        <w:rPr>
          <w:rStyle w:val="19"/>
          <w:rFonts w:hint="eastAsia" w:ascii="楷体_GB2312" w:hAnsi="楷体_GB2312" w:eastAsia="楷体_GB2312" w:cs="楷体_GB2312"/>
          <w:bCs/>
          <w:color w:val="auto"/>
          <w:sz w:val="32"/>
          <w:szCs w:val="32"/>
        </w:rPr>
      </w:pPr>
      <w:r>
        <w:rPr>
          <w:rStyle w:val="19"/>
          <w:rFonts w:hint="eastAsia" w:ascii="楷体_GB2312" w:hAnsi="楷体_GB2312" w:eastAsia="楷体_GB2312" w:cs="楷体_GB2312"/>
          <w:bCs/>
          <w:color w:val="auto"/>
          <w:sz w:val="32"/>
          <w:szCs w:val="32"/>
          <w:lang w:val="en-US" w:eastAsia="zh-CN"/>
        </w:rPr>
        <w:t>（第二版）</w:t>
      </w:r>
    </w:p>
    <w:p w14:paraId="70AC0D6D">
      <w:pPr>
        <w:keepNext w:val="0"/>
        <w:keepLines w:val="0"/>
        <w:pageBreakBefore w:val="0"/>
        <w:widowControl w:val="0"/>
        <w:kinsoku/>
        <w:overflowPunct/>
        <w:topLinePunct w:val="0"/>
        <w:autoSpaceDE/>
        <w:autoSpaceDN/>
        <w:bidi w:val="0"/>
        <w:spacing w:line="580" w:lineRule="exact"/>
        <w:ind w:firstLine="643" w:firstLineChars="200"/>
        <w:outlineLvl w:val="2"/>
        <w:rPr>
          <w:rFonts w:ascii="Times New Roman" w:hAnsi="Times New Roman" w:eastAsia="方正仿宋_GB2312"/>
          <w:b/>
          <w:sz w:val="32"/>
          <w:szCs w:val="32"/>
        </w:rPr>
      </w:pPr>
    </w:p>
    <w:p w14:paraId="1747912E">
      <w:pPr>
        <w:keepNext w:val="0"/>
        <w:keepLines w:val="0"/>
        <w:pageBreakBefore w:val="0"/>
        <w:widowControl w:val="0"/>
        <w:kinsoku/>
        <w:overflowPunct/>
        <w:topLinePunct w:val="0"/>
        <w:autoSpaceDE/>
        <w:autoSpaceDN/>
        <w:bidi w:val="0"/>
        <w:spacing w:line="580" w:lineRule="exact"/>
        <w:ind w:firstLine="640" w:firstLineChars="200"/>
        <w:outlineLvl w:val="2"/>
        <w:rPr>
          <w:rFonts w:hint="eastAsia" w:ascii="黑体" w:hAnsi="黑体" w:eastAsia="黑体" w:cs="黑体"/>
          <w:b w:val="0"/>
          <w:bCs/>
          <w:sz w:val="32"/>
          <w:szCs w:val="32"/>
        </w:rPr>
      </w:pPr>
      <w:r>
        <w:rPr>
          <w:rFonts w:hint="eastAsia" w:ascii="黑体" w:hAnsi="黑体" w:eastAsia="黑体" w:cs="黑体"/>
          <w:b w:val="0"/>
          <w:bCs/>
          <w:sz w:val="32"/>
          <w:szCs w:val="32"/>
        </w:rPr>
        <w:t>专题一：海洋功能食品深度开发及产业化示范</w:t>
      </w:r>
    </w:p>
    <w:p w14:paraId="2F08149D">
      <w:pPr>
        <w:keepNext w:val="0"/>
        <w:keepLines w:val="0"/>
        <w:pageBreakBefore w:val="0"/>
        <w:widowControl w:val="0"/>
        <w:kinsoku/>
        <w:overflowPunct/>
        <w:topLinePunct w:val="0"/>
        <w:autoSpaceDE/>
        <w:autoSpaceDN/>
        <w:bidi w:val="0"/>
        <w:spacing w:before="0" w:after="0" w:line="580" w:lineRule="exact"/>
        <w:ind w:firstLine="643" w:firstLineChars="200"/>
        <w:outlineLvl w:val="1"/>
        <w:rPr>
          <w:rFonts w:ascii="Times New Roman" w:hAnsi="Times New Roman" w:eastAsia="仿宋_GB2312"/>
          <w:b/>
          <w:sz w:val="32"/>
          <w:szCs w:val="32"/>
        </w:rPr>
      </w:pPr>
      <w:r>
        <w:rPr>
          <w:rFonts w:ascii="Times New Roman" w:hAnsi="Times New Roman" w:eastAsia="仿宋_GB2312"/>
          <w:b/>
          <w:sz w:val="32"/>
          <w:szCs w:val="32"/>
        </w:rPr>
        <w:t>方向1：</w:t>
      </w:r>
      <w:r>
        <w:rPr>
          <w:rFonts w:hint="eastAsia" w:ascii="Times New Roman" w:hAnsi="Times New Roman" w:eastAsia="仿宋_GB2312"/>
          <w:b/>
          <w:sz w:val="32"/>
          <w:szCs w:val="32"/>
        </w:rPr>
        <w:t>海洋大宗养殖鱼类功能</w:t>
      </w:r>
      <w:r>
        <w:rPr>
          <w:rFonts w:ascii="Times New Roman" w:hAnsi="Times New Roman" w:eastAsia="仿宋_GB2312"/>
          <w:b/>
          <w:sz w:val="32"/>
          <w:szCs w:val="32"/>
        </w:rPr>
        <w:t>肽智能化开发及产业化示范</w:t>
      </w:r>
    </w:p>
    <w:p w14:paraId="2D06CFFB">
      <w:pPr>
        <w:pStyle w:val="2"/>
        <w:keepNext w:val="0"/>
        <w:keepLines w:val="0"/>
        <w:pageBreakBefore w:val="0"/>
        <w:widowControl w:val="0"/>
        <w:kinsoku/>
        <w:overflowPunct/>
        <w:topLinePunct w:val="0"/>
        <w:autoSpaceDE/>
        <w:autoSpaceDN/>
        <w:bidi w:val="0"/>
        <w:adjustRightInd/>
        <w:spacing w:line="580" w:lineRule="exact"/>
        <w:ind w:firstLine="643" w:firstLineChars="200"/>
        <w:rPr>
          <w:rFonts w:hint="default" w:ascii="Times New Roman" w:hAnsi="Times New Roman" w:eastAsia="仿宋_GB2312" w:cs="Times New Roman"/>
          <w:snapToGrid w:val="0"/>
          <w:color w:val="auto"/>
          <w:sz w:val="32"/>
          <w:szCs w:val="32"/>
        </w:rPr>
      </w:pPr>
      <w:r>
        <w:rPr>
          <w:rFonts w:hint="default" w:ascii="Times New Roman" w:hAnsi="Times New Roman" w:eastAsia="仿宋_GB2312" w:cs="Times New Roman"/>
          <w:b/>
          <w:bCs/>
          <w:snapToGrid w:val="0"/>
          <w:color w:val="auto"/>
          <w:sz w:val="32"/>
          <w:szCs w:val="32"/>
        </w:rPr>
        <w:t>1</w:t>
      </w:r>
      <w:r>
        <w:rPr>
          <w:rFonts w:hint="default" w:ascii="Times New Roman" w:hAnsi="Times New Roman" w:eastAsia="仿宋_GB2312" w:cs="Times New Roman"/>
          <w:b/>
          <w:bCs/>
          <w:snapToGrid w:val="0"/>
          <w:color w:val="auto"/>
          <w:sz w:val="32"/>
          <w:szCs w:val="32"/>
          <w:highlight w:val="none"/>
        </w:rPr>
        <w:t>．</w:t>
      </w:r>
      <w:r>
        <w:rPr>
          <w:rFonts w:hint="default" w:ascii="Times New Roman" w:hAnsi="Times New Roman" w:eastAsia="仿宋_GB2312" w:cs="Times New Roman"/>
          <w:b/>
          <w:bCs/>
          <w:snapToGrid w:val="0"/>
          <w:color w:val="auto"/>
          <w:sz w:val="32"/>
          <w:szCs w:val="32"/>
        </w:rPr>
        <w:t>研究内容：</w:t>
      </w:r>
      <w:r>
        <w:rPr>
          <w:rFonts w:hint="default" w:ascii="Times New Roman" w:hAnsi="Times New Roman" w:eastAsia="仿宋_GB2312" w:cs="Times New Roman"/>
          <w:snapToGrid w:val="0"/>
          <w:color w:val="auto"/>
          <w:sz w:val="32"/>
          <w:szCs w:val="32"/>
        </w:rPr>
        <w:t>（1）建立基于AI的</w:t>
      </w:r>
      <w:r>
        <w:rPr>
          <w:rFonts w:ascii="Times New Roman" w:hAnsi="Times New Roman" w:eastAsia="仿宋_GB2312" w:cs="Times New Roman"/>
          <w:snapToGrid w:val="0"/>
          <w:color w:val="auto"/>
          <w:sz w:val="32"/>
          <w:szCs w:val="32"/>
        </w:rPr>
        <w:t>海洋大宗养殖鱼类</w:t>
      </w:r>
      <w:r>
        <w:rPr>
          <w:rFonts w:hint="default" w:ascii="Times New Roman" w:hAnsi="Times New Roman" w:eastAsia="仿宋_GB2312" w:cs="Times New Roman"/>
          <w:snapToGrid w:val="0"/>
          <w:color w:val="auto"/>
          <w:sz w:val="32"/>
          <w:szCs w:val="32"/>
        </w:rPr>
        <w:t>活性肽</w:t>
      </w:r>
      <w:r>
        <w:rPr>
          <w:rFonts w:ascii="Times New Roman" w:hAnsi="Times New Roman" w:eastAsia="仿宋_GB2312" w:cs="Times New Roman"/>
          <w:snapToGrid w:val="0"/>
          <w:color w:val="auto"/>
          <w:sz w:val="32"/>
          <w:szCs w:val="32"/>
        </w:rPr>
        <w:t>智能</w:t>
      </w:r>
      <w:r>
        <w:rPr>
          <w:rFonts w:hint="default" w:ascii="Times New Roman" w:hAnsi="Times New Roman" w:eastAsia="仿宋_GB2312" w:cs="Times New Roman"/>
          <w:snapToGrid w:val="0"/>
          <w:color w:val="auto"/>
          <w:sz w:val="32"/>
          <w:szCs w:val="32"/>
        </w:rPr>
        <w:t>预测和筛选技术</w:t>
      </w:r>
      <w:r>
        <w:rPr>
          <w:rFonts w:ascii="Times New Roman" w:hAnsi="Times New Roman" w:eastAsia="仿宋_GB2312" w:cs="Times New Roman"/>
          <w:snapToGrid w:val="0"/>
          <w:color w:val="auto"/>
          <w:sz w:val="32"/>
          <w:szCs w:val="32"/>
        </w:rPr>
        <w:t>，建立功能评价</w:t>
      </w:r>
      <w:r>
        <w:rPr>
          <w:rFonts w:hint="default" w:ascii="Times New Roman" w:hAnsi="Times New Roman" w:eastAsia="仿宋_GB2312" w:cs="Times New Roman"/>
          <w:snapToGrid w:val="0"/>
          <w:color w:val="auto"/>
          <w:sz w:val="32"/>
          <w:szCs w:val="32"/>
        </w:rPr>
        <w:t>体系，</w:t>
      </w:r>
      <w:r>
        <w:rPr>
          <w:rFonts w:ascii="Times New Roman" w:hAnsi="Times New Roman" w:eastAsia="仿宋_GB2312" w:cs="Times New Roman"/>
          <w:snapToGrid w:val="0"/>
          <w:color w:val="auto"/>
          <w:sz w:val="32"/>
          <w:szCs w:val="32"/>
        </w:rPr>
        <w:t>开展</w:t>
      </w:r>
      <w:r>
        <w:rPr>
          <w:rFonts w:hint="default" w:ascii="Times New Roman" w:hAnsi="Times New Roman" w:eastAsia="仿宋_GB2312" w:cs="Times New Roman"/>
          <w:snapToGrid w:val="0"/>
          <w:color w:val="auto"/>
          <w:sz w:val="32"/>
          <w:szCs w:val="32"/>
        </w:rPr>
        <w:t>血糖调节、增强免疫力以及</w:t>
      </w:r>
      <w:r>
        <w:rPr>
          <w:rFonts w:ascii="Times New Roman" w:hAnsi="Times New Roman" w:eastAsia="仿宋_GB2312" w:cs="Times New Roman"/>
          <w:snapToGrid w:val="0"/>
          <w:color w:val="auto"/>
          <w:sz w:val="32"/>
          <w:szCs w:val="32"/>
        </w:rPr>
        <w:t>胃黏膜保护</w:t>
      </w:r>
      <w:r>
        <w:rPr>
          <w:rFonts w:hint="default" w:ascii="Times New Roman" w:hAnsi="Times New Roman" w:eastAsia="仿宋_GB2312" w:cs="Times New Roman"/>
          <w:snapToGrid w:val="0"/>
          <w:color w:val="auto"/>
          <w:sz w:val="32"/>
          <w:szCs w:val="32"/>
        </w:rPr>
        <w:t>等</w:t>
      </w:r>
      <w:r>
        <w:rPr>
          <w:rFonts w:ascii="Times New Roman" w:hAnsi="Times New Roman" w:eastAsia="仿宋_GB2312" w:cs="Times New Roman"/>
          <w:snapToGrid w:val="0"/>
          <w:color w:val="auto"/>
          <w:sz w:val="32"/>
          <w:szCs w:val="32"/>
        </w:rPr>
        <w:t>明确靶向活性的智能化功能肽设计与制备研究。</w:t>
      </w:r>
      <w:r>
        <w:rPr>
          <w:rFonts w:hint="default" w:ascii="Times New Roman" w:hAnsi="Times New Roman" w:eastAsia="仿宋_GB2312" w:cs="Times New Roman"/>
          <w:snapToGrid w:val="0"/>
          <w:color w:val="auto"/>
          <w:sz w:val="32"/>
          <w:szCs w:val="32"/>
        </w:rPr>
        <w:t>（2）</w:t>
      </w:r>
      <w:bookmarkStart w:id="0" w:name="OLE_LINK3"/>
      <w:r>
        <w:rPr>
          <w:rFonts w:ascii="Times New Roman" w:hAnsi="Times New Roman" w:eastAsia="仿宋_GB2312" w:cs="Times New Roman"/>
          <w:snapToGrid w:val="0"/>
          <w:color w:val="auto"/>
          <w:sz w:val="32"/>
          <w:szCs w:val="32"/>
        </w:rPr>
        <w:t>借助</w:t>
      </w:r>
      <w:r>
        <w:rPr>
          <w:rFonts w:hint="default" w:ascii="Times New Roman" w:hAnsi="Times New Roman" w:eastAsia="仿宋_GB2312" w:cs="Times New Roman"/>
          <w:snapToGrid w:val="0"/>
          <w:color w:val="auto"/>
          <w:sz w:val="32"/>
          <w:szCs w:val="32"/>
        </w:rPr>
        <w:t>多模态数据构建深度学习模型，解析肽粉腥味关键成分，通过强化学习优化酶解工艺和脱腥策略，实现腥味阈值精准控制</w:t>
      </w:r>
      <w:bookmarkEnd w:id="0"/>
      <w:bookmarkStart w:id="1" w:name="OLE_LINK4"/>
      <w:r>
        <w:rPr>
          <w:rFonts w:ascii="Times New Roman" w:hAnsi="Times New Roman" w:eastAsia="仿宋_GB2312" w:cs="Times New Roman"/>
          <w:snapToGrid w:val="0"/>
          <w:color w:val="auto"/>
          <w:sz w:val="32"/>
          <w:szCs w:val="32"/>
        </w:rPr>
        <w:t>。</w:t>
      </w:r>
      <w:r>
        <w:rPr>
          <w:rFonts w:hint="default" w:ascii="Times New Roman" w:hAnsi="Times New Roman" w:eastAsia="仿宋_GB2312" w:cs="Times New Roman"/>
          <w:snapToGrid w:val="0"/>
          <w:color w:val="auto"/>
          <w:sz w:val="32"/>
          <w:szCs w:val="32"/>
        </w:rPr>
        <w:t>（3）</w:t>
      </w:r>
      <w:r>
        <w:rPr>
          <w:rFonts w:ascii="Times New Roman" w:hAnsi="Times New Roman" w:eastAsia="仿宋_GB2312" w:cs="Times New Roman"/>
          <w:snapToGrid w:val="0"/>
          <w:color w:val="auto"/>
          <w:sz w:val="32"/>
          <w:szCs w:val="32"/>
        </w:rPr>
        <w:t>运用</w:t>
      </w:r>
      <w:r>
        <w:rPr>
          <w:rFonts w:hint="default" w:ascii="Times New Roman" w:hAnsi="Times New Roman" w:eastAsia="仿宋_GB2312" w:cs="Times New Roman"/>
          <w:snapToGrid w:val="0"/>
          <w:color w:val="auto"/>
          <w:sz w:val="32"/>
          <w:szCs w:val="32"/>
        </w:rPr>
        <w:t>分子动力模拟与机器学习</w:t>
      </w:r>
      <w:r>
        <w:rPr>
          <w:rFonts w:ascii="Times New Roman" w:hAnsi="Times New Roman" w:eastAsia="仿宋_GB2312" w:cs="Times New Roman"/>
          <w:snapToGrid w:val="0"/>
          <w:color w:val="auto"/>
          <w:sz w:val="32"/>
          <w:szCs w:val="32"/>
        </w:rPr>
        <w:t>策略，</w:t>
      </w:r>
      <w:r>
        <w:rPr>
          <w:rFonts w:hint="default" w:ascii="Times New Roman" w:hAnsi="Times New Roman" w:eastAsia="仿宋_GB2312" w:cs="Times New Roman"/>
          <w:snapToGrid w:val="0"/>
          <w:color w:val="auto"/>
          <w:sz w:val="32"/>
          <w:szCs w:val="32"/>
        </w:rPr>
        <w:t>预测肽链氧化/水解敏感性，设计多尺度微胶囊包埋技术，</w:t>
      </w:r>
      <w:r>
        <w:rPr>
          <w:rFonts w:ascii="Times New Roman" w:hAnsi="Times New Roman" w:eastAsia="仿宋_GB2312" w:cs="Times New Roman"/>
          <w:snapToGrid w:val="0"/>
          <w:color w:val="auto"/>
          <w:sz w:val="32"/>
          <w:szCs w:val="32"/>
        </w:rPr>
        <w:t>获得</w:t>
      </w:r>
      <w:r>
        <w:rPr>
          <w:rFonts w:hint="default" w:ascii="Times New Roman" w:hAnsi="Times New Roman" w:eastAsia="仿宋_GB2312" w:cs="Times New Roman"/>
          <w:snapToGrid w:val="0"/>
          <w:color w:val="auto"/>
          <w:sz w:val="32"/>
          <w:szCs w:val="32"/>
        </w:rPr>
        <w:t>稳态活性肽粉</w:t>
      </w:r>
      <w:r>
        <w:rPr>
          <w:rFonts w:ascii="Times New Roman" w:hAnsi="Times New Roman" w:eastAsia="仿宋_GB2312" w:cs="Times New Roman"/>
          <w:snapToGrid w:val="0"/>
          <w:color w:val="auto"/>
          <w:sz w:val="32"/>
          <w:szCs w:val="32"/>
        </w:rPr>
        <w:t>。（</w:t>
      </w:r>
      <w:r>
        <w:rPr>
          <w:rFonts w:hint="default" w:ascii="Times New Roman" w:hAnsi="Times New Roman" w:eastAsia="仿宋_GB2312" w:cs="Times New Roman"/>
          <w:snapToGrid w:val="0"/>
          <w:color w:val="auto"/>
          <w:sz w:val="32"/>
          <w:szCs w:val="32"/>
        </w:rPr>
        <w:t>4）</w:t>
      </w:r>
      <w:r>
        <w:rPr>
          <w:rFonts w:ascii="Times New Roman" w:hAnsi="Times New Roman" w:eastAsia="仿宋_GB2312" w:cs="Times New Roman"/>
          <w:snapToGrid w:val="0"/>
          <w:color w:val="auto"/>
          <w:sz w:val="32"/>
          <w:szCs w:val="32"/>
        </w:rPr>
        <w:t>开发海洋大宗养殖鱼类功能肽精准定向制备技术，构建标准化生产工艺体系，推动原料生产线技术升级。（5）基于我国慢性病防控与健康管理需求，研制海洋大宗养殖鱼类功能肽基功能食品，贯通原料开发</w:t>
      </w:r>
      <w:r>
        <w:rPr>
          <w:rFonts w:hint="eastAsia" w:ascii="Times New Roman" w:hAnsi="Times New Roman" w:eastAsia="仿宋_GB2312" w:cs="Times New Roman"/>
          <w:snapToGrid w:val="0"/>
          <w:color w:val="auto"/>
          <w:sz w:val="32"/>
          <w:szCs w:val="32"/>
          <w:lang w:eastAsia="zh-CN"/>
        </w:rPr>
        <w:t>—</w:t>
      </w:r>
      <w:r>
        <w:rPr>
          <w:rFonts w:ascii="Times New Roman" w:hAnsi="Times New Roman" w:eastAsia="仿宋_GB2312" w:cs="Times New Roman"/>
          <w:snapToGrid w:val="0"/>
          <w:color w:val="auto"/>
          <w:sz w:val="32"/>
          <w:szCs w:val="32"/>
        </w:rPr>
        <w:t>产品转化</w:t>
      </w:r>
      <w:r>
        <w:rPr>
          <w:rFonts w:hint="eastAsia" w:ascii="Times New Roman" w:hAnsi="Times New Roman" w:eastAsia="仿宋_GB2312" w:cs="Times New Roman"/>
          <w:snapToGrid w:val="0"/>
          <w:color w:val="auto"/>
          <w:sz w:val="32"/>
          <w:szCs w:val="32"/>
          <w:lang w:eastAsia="zh-CN"/>
        </w:rPr>
        <w:t>—</w:t>
      </w:r>
      <w:r>
        <w:rPr>
          <w:rFonts w:ascii="Times New Roman" w:hAnsi="Times New Roman" w:eastAsia="仿宋_GB2312" w:cs="Times New Roman"/>
          <w:snapToGrid w:val="0"/>
          <w:color w:val="auto"/>
          <w:sz w:val="32"/>
          <w:szCs w:val="32"/>
        </w:rPr>
        <w:t>产业化应用全产业链条</w:t>
      </w:r>
      <w:r>
        <w:rPr>
          <w:rFonts w:hint="default" w:ascii="Times New Roman" w:hAnsi="Times New Roman" w:eastAsia="仿宋_GB2312" w:cs="Times New Roman"/>
          <w:snapToGrid w:val="0"/>
          <w:color w:val="auto"/>
          <w:sz w:val="32"/>
          <w:szCs w:val="32"/>
        </w:rPr>
        <w:t>，实现产业化生产示范。</w:t>
      </w:r>
    </w:p>
    <w:bookmarkEnd w:id="1"/>
    <w:p w14:paraId="09E22F08">
      <w:pPr>
        <w:pStyle w:val="2"/>
        <w:keepNext w:val="0"/>
        <w:keepLines w:val="0"/>
        <w:pageBreakBefore w:val="0"/>
        <w:widowControl w:val="0"/>
        <w:kinsoku/>
        <w:overflowPunct/>
        <w:topLinePunct w:val="0"/>
        <w:autoSpaceDE/>
        <w:autoSpaceDN/>
        <w:bidi w:val="0"/>
        <w:adjustRightInd/>
        <w:spacing w:line="580" w:lineRule="exact"/>
        <w:ind w:firstLine="643" w:firstLineChars="200"/>
        <w:rPr>
          <w:rFonts w:ascii="Times New Roman" w:hAnsi="Times New Roman" w:eastAsia="仿宋_GB2312" w:cs="Times New Roman"/>
          <w:snapToGrid w:val="0"/>
          <w:color w:val="auto"/>
          <w:sz w:val="32"/>
          <w:szCs w:val="32"/>
          <w:highlight w:val="yellow"/>
        </w:rPr>
      </w:pPr>
      <w:r>
        <w:rPr>
          <w:rFonts w:hint="default" w:ascii="Times New Roman" w:hAnsi="Times New Roman" w:eastAsia="仿宋_GB2312" w:cs="Times New Roman"/>
          <w:b/>
          <w:bCs/>
          <w:snapToGrid w:val="0"/>
          <w:color w:val="auto"/>
          <w:sz w:val="32"/>
          <w:szCs w:val="32"/>
        </w:rPr>
        <w:t>2</w:t>
      </w:r>
      <w:r>
        <w:rPr>
          <w:rFonts w:hint="default" w:ascii="Times New Roman" w:hAnsi="Times New Roman" w:eastAsia="仿宋_GB2312" w:cs="Times New Roman"/>
          <w:b/>
          <w:bCs/>
          <w:snapToGrid w:val="0"/>
          <w:color w:val="auto"/>
          <w:sz w:val="32"/>
          <w:szCs w:val="32"/>
          <w:highlight w:val="none"/>
        </w:rPr>
        <w:t>．</w:t>
      </w:r>
      <w:r>
        <w:rPr>
          <w:rFonts w:hint="default" w:ascii="Times New Roman" w:hAnsi="Times New Roman" w:eastAsia="仿宋_GB2312" w:cs="Times New Roman"/>
          <w:b/>
          <w:bCs/>
          <w:snapToGrid w:val="0"/>
          <w:color w:val="auto"/>
          <w:sz w:val="32"/>
          <w:szCs w:val="32"/>
        </w:rPr>
        <w:t>考核指标：</w:t>
      </w:r>
      <w:r>
        <w:rPr>
          <w:rFonts w:hint="default" w:ascii="Times New Roman" w:hAnsi="Times New Roman" w:eastAsia="仿宋_GB2312" w:cs="Times New Roman"/>
          <w:snapToGrid w:val="0"/>
          <w:color w:val="auto"/>
          <w:sz w:val="32"/>
          <w:szCs w:val="32"/>
        </w:rPr>
        <w:t>（1）构建</w:t>
      </w:r>
      <w:r>
        <w:rPr>
          <w:rFonts w:ascii="Times New Roman" w:hAnsi="Times New Roman" w:eastAsia="仿宋_GB2312" w:cs="Times New Roman"/>
          <w:snapToGrid w:val="0"/>
          <w:color w:val="auto"/>
          <w:sz w:val="32"/>
          <w:szCs w:val="32"/>
        </w:rPr>
        <w:t>海洋鱼类功能</w:t>
      </w:r>
      <w:r>
        <w:rPr>
          <w:rFonts w:hint="default" w:ascii="Times New Roman" w:hAnsi="Times New Roman" w:eastAsia="仿宋_GB2312" w:cs="Times New Roman"/>
          <w:snapToGrid w:val="0"/>
          <w:color w:val="auto"/>
          <w:sz w:val="32"/>
          <w:szCs w:val="32"/>
        </w:rPr>
        <w:t>肽腥味控制技术1项，稳态化技术1项</w:t>
      </w:r>
      <w:r>
        <w:rPr>
          <w:rFonts w:ascii="Times New Roman" w:hAnsi="Times New Roman" w:eastAsia="仿宋_GB2312" w:cs="Times New Roman"/>
          <w:snapToGrid w:val="0"/>
          <w:color w:val="auto"/>
          <w:sz w:val="32"/>
          <w:szCs w:val="32"/>
        </w:rPr>
        <w:t>。（2）</w:t>
      </w:r>
      <w:r>
        <w:rPr>
          <w:rFonts w:hint="default" w:ascii="Times New Roman" w:hAnsi="Times New Roman" w:eastAsia="仿宋_GB2312" w:cs="Times New Roman"/>
          <w:snapToGrid w:val="0"/>
          <w:color w:val="auto"/>
          <w:sz w:val="32"/>
          <w:szCs w:val="32"/>
        </w:rPr>
        <w:t>开发血糖调节、增强免疫力和</w:t>
      </w:r>
      <w:r>
        <w:rPr>
          <w:rFonts w:ascii="Times New Roman" w:hAnsi="Times New Roman" w:eastAsia="仿宋_GB2312" w:cs="Times New Roman"/>
          <w:snapToGrid w:val="0"/>
          <w:color w:val="auto"/>
          <w:sz w:val="32"/>
          <w:szCs w:val="32"/>
        </w:rPr>
        <w:t>胃黏膜保护</w:t>
      </w:r>
      <w:r>
        <w:rPr>
          <w:rFonts w:hint="default" w:ascii="Times New Roman" w:hAnsi="Times New Roman" w:eastAsia="仿宋_GB2312" w:cs="Times New Roman"/>
          <w:b w:val="0"/>
          <w:bCs w:val="0"/>
          <w:snapToGrid w:val="0"/>
          <w:color w:val="auto"/>
          <w:sz w:val="32"/>
          <w:szCs w:val="32"/>
        </w:rPr>
        <w:t>等</w:t>
      </w:r>
      <w:r>
        <w:rPr>
          <w:rFonts w:ascii="Times New Roman" w:hAnsi="Times New Roman" w:eastAsia="仿宋_GB2312" w:cs="Times New Roman"/>
          <w:b w:val="0"/>
          <w:bCs w:val="0"/>
          <w:snapToGrid w:val="0"/>
          <w:color w:val="auto"/>
          <w:sz w:val="32"/>
          <w:szCs w:val="32"/>
        </w:rPr>
        <w:t>海洋鱼</w:t>
      </w:r>
      <w:r>
        <w:rPr>
          <w:rFonts w:ascii="Times New Roman" w:hAnsi="Times New Roman" w:eastAsia="仿宋_GB2312" w:cs="Times New Roman"/>
          <w:snapToGrid w:val="0"/>
          <w:color w:val="auto"/>
          <w:sz w:val="32"/>
          <w:szCs w:val="32"/>
        </w:rPr>
        <w:t>类</w:t>
      </w:r>
      <w:r>
        <w:rPr>
          <w:rFonts w:hint="default" w:ascii="Times New Roman" w:hAnsi="Times New Roman" w:eastAsia="仿宋_GB2312" w:cs="Times New Roman"/>
          <w:snapToGrid w:val="0"/>
          <w:color w:val="auto"/>
          <w:sz w:val="32"/>
          <w:szCs w:val="32"/>
        </w:rPr>
        <w:t>活性肽原料3种，</w:t>
      </w:r>
      <w:r>
        <w:rPr>
          <w:rFonts w:ascii="Times New Roman" w:hAnsi="Times New Roman" w:eastAsia="仿宋_GB2312" w:cs="Times New Roman"/>
          <w:snapToGrid w:val="0"/>
          <w:color w:val="auto"/>
          <w:sz w:val="32"/>
          <w:szCs w:val="32"/>
        </w:rPr>
        <w:t>开发功能</w:t>
      </w:r>
      <w:r>
        <w:rPr>
          <w:rFonts w:hint="default" w:ascii="Times New Roman" w:hAnsi="Times New Roman" w:eastAsia="仿宋_GB2312" w:cs="Times New Roman"/>
          <w:snapToGrid w:val="0"/>
          <w:color w:val="auto"/>
          <w:sz w:val="32"/>
          <w:szCs w:val="32"/>
        </w:rPr>
        <w:t>食品</w:t>
      </w:r>
      <w:r>
        <w:rPr>
          <w:rFonts w:ascii="Times New Roman" w:hAnsi="Times New Roman" w:eastAsia="仿宋_GB2312" w:cs="Times New Roman"/>
          <w:snapToGrid w:val="0"/>
          <w:color w:val="auto"/>
          <w:sz w:val="32"/>
          <w:szCs w:val="32"/>
        </w:rPr>
        <w:t>3个</w:t>
      </w:r>
      <w:r>
        <w:rPr>
          <w:rFonts w:hint="default" w:ascii="Times New Roman" w:hAnsi="Times New Roman" w:eastAsia="仿宋_GB2312" w:cs="Times New Roman"/>
          <w:snapToGrid w:val="0"/>
          <w:color w:val="auto"/>
          <w:sz w:val="32"/>
          <w:szCs w:val="32"/>
        </w:rPr>
        <w:t>，</w:t>
      </w:r>
      <w:r>
        <w:rPr>
          <w:rFonts w:ascii="Times New Roman" w:hAnsi="Times New Roman" w:eastAsia="仿宋_GB2312" w:cs="Times New Roman"/>
          <w:snapToGrid w:val="0"/>
          <w:color w:val="auto"/>
          <w:sz w:val="32"/>
          <w:szCs w:val="32"/>
        </w:rPr>
        <w:t>完成</w:t>
      </w:r>
      <w:r>
        <w:rPr>
          <w:rFonts w:hint="default" w:ascii="Times New Roman" w:hAnsi="Times New Roman" w:eastAsia="仿宋_GB2312" w:cs="Times New Roman"/>
          <w:snapToGrid w:val="0"/>
          <w:color w:val="auto"/>
          <w:sz w:val="32"/>
          <w:szCs w:val="32"/>
        </w:rPr>
        <w:t>其中</w:t>
      </w:r>
      <w:r>
        <w:rPr>
          <w:rFonts w:ascii="Times New Roman" w:hAnsi="Times New Roman" w:eastAsia="仿宋_GB2312" w:cs="Times New Roman"/>
          <w:snapToGrid w:val="0"/>
          <w:color w:val="auto"/>
          <w:sz w:val="32"/>
          <w:szCs w:val="32"/>
        </w:rPr>
        <w:t>1个保健食品的申报。</w:t>
      </w:r>
      <w:r>
        <w:rPr>
          <w:rFonts w:hint="default" w:ascii="Times New Roman" w:hAnsi="Times New Roman" w:eastAsia="仿宋_GB2312" w:cs="Times New Roman"/>
          <w:snapToGrid w:val="0"/>
          <w:color w:val="auto"/>
          <w:sz w:val="32"/>
          <w:szCs w:val="32"/>
        </w:rPr>
        <w:t>（</w:t>
      </w:r>
      <w:r>
        <w:rPr>
          <w:rFonts w:ascii="Times New Roman" w:hAnsi="Times New Roman" w:eastAsia="仿宋_GB2312" w:cs="Times New Roman"/>
          <w:snapToGrid w:val="0"/>
          <w:color w:val="auto"/>
          <w:sz w:val="32"/>
          <w:szCs w:val="32"/>
        </w:rPr>
        <w:t>3</w:t>
      </w:r>
      <w:r>
        <w:rPr>
          <w:rFonts w:hint="default" w:ascii="Times New Roman" w:hAnsi="Times New Roman" w:eastAsia="仿宋_GB2312" w:cs="Times New Roman"/>
          <w:snapToGrid w:val="0"/>
          <w:color w:val="auto"/>
          <w:sz w:val="32"/>
          <w:szCs w:val="32"/>
        </w:rPr>
        <w:t>）编制并发布地方标准/行业标准/团体标准2项</w:t>
      </w:r>
      <w:r>
        <w:rPr>
          <w:rFonts w:hint="eastAsia" w:ascii="Times New Roman" w:hAnsi="Times New Roman" w:eastAsia="仿宋_GB2312" w:cs="Times New Roman"/>
          <w:snapToGrid w:val="0"/>
          <w:color w:val="auto"/>
          <w:sz w:val="32"/>
          <w:szCs w:val="32"/>
          <w:lang w:val="en-US" w:eastAsia="zh-CN"/>
        </w:rPr>
        <w:t>及以上</w:t>
      </w:r>
      <w:r>
        <w:rPr>
          <w:rFonts w:hint="default" w:ascii="Times New Roman" w:hAnsi="Times New Roman" w:eastAsia="仿宋_GB2312" w:cs="Times New Roman"/>
          <w:snapToGrid w:val="0"/>
          <w:color w:val="auto"/>
          <w:sz w:val="32"/>
          <w:szCs w:val="32"/>
        </w:rPr>
        <w:t>，获授权发明专利3件</w:t>
      </w:r>
      <w:r>
        <w:rPr>
          <w:rFonts w:hint="eastAsia" w:ascii="Times New Roman" w:hAnsi="Times New Roman" w:eastAsia="仿宋_GB2312" w:cs="Times New Roman"/>
          <w:snapToGrid w:val="0"/>
          <w:color w:val="auto"/>
          <w:sz w:val="32"/>
          <w:szCs w:val="32"/>
          <w:lang w:val="en-US" w:eastAsia="zh-CN"/>
        </w:rPr>
        <w:t>及以上</w:t>
      </w:r>
      <w:r>
        <w:rPr>
          <w:rFonts w:ascii="Times New Roman" w:hAnsi="Times New Roman" w:eastAsia="仿宋_GB2312" w:cs="Times New Roman"/>
          <w:snapToGrid w:val="0"/>
          <w:color w:val="auto"/>
          <w:sz w:val="32"/>
          <w:szCs w:val="32"/>
        </w:rPr>
        <w:t>。</w:t>
      </w:r>
      <w:r>
        <w:rPr>
          <w:rFonts w:hint="default" w:ascii="Times New Roman" w:hAnsi="Times New Roman" w:eastAsia="仿宋_GB2312" w:cs="Times New Roman"/>
          <w:snapToGrid w:val="0"/>
          <w:color w:val="auto"/>
          <w:sz w:val="32"/>
          <w:szCs w:val="32"/>
        </w:rPr>
        <w:t>（</w:t>
      </w:r>
      <w:r>
        <w:rPr>
          <w:rFonts w:ascii="Times New Roman" w:hAnsi="Times New Roman" w:eastAsia="仿宋_GB2312" w:cs="Times New Roman"/>
          <w:snapToGrid w:val="0"/>
          <w:color w:val="auto"/>
          <w:sz w:val="32"/>
          <w:szCs w:val="32"/>
        </w:rPr>
        <w:t>4</w:t>
      </w:r>
      <w:r>
        <w:rPr>
          <w:rFonts w:hint="default" w:ascii="Times New Roman" w:hAnsi="Times New Roman" w:eastAsia="仿宋_GB2312" w:cs="Times New Roman"/>
          <w:snapToGrid w:val="0"/>
          <w:color w:val="auto"/>
          <w:sz w:val="32"/>
          <w:szCs w:val="32"/>
        </w:rPr>
        <w:t>）项目实施期内，</w:t>
      </w:r>
      <w:r>
        <w:rPr>
          <w:rFonts w:ascii="Times New Roman" w:hAnsi="Times New Roman" w:eastAsia="仿宋_GB2312" w:cs="Times New Roman"/>
          <w:snapToGrid w:val="0"/>
          <w:color w:val="auto"/>
          <w:sz w:val="32"/>
          <w:szCs w:val="32"/>
        </w:rPr>
        <w:t>扩建年产500万袋保健品生产线一条，实现</w:t>
      </w:r>
      <w:r>
        <w:rPr>
          <w:rFonts w:hint="default" w:ascii="Times New Roman" w:hAnsi="Times New Roman" w:eastAsia="仿宋_GB2312" w:cs="Times New Roman"/>
          <w:snapToGrid w:val="0"/>
          <w:color w:val="auto"/>
          <w:sz w:val="32"/>
          <w:szCs w:val="32"/>
        </w:rPr>
        <w:t>产值0.5亿元</w:t>
      </w:r>
      <w:r>
        <w:rPr>
          <w:rFonts w:ascii="Times New Roman" w:hAnsi="Times New Roman" w:eastAsia="仿宋_GB2312" w:cs="Times New Roman"/>
          <w:snapToGrid w:val="0"/>
          <w:color w:val="auto"/>
          <w:sz w:val="32"/>
          <w:szCs w:val="32"/>
        </w:rPr>
        <w:t>及以上，新增利税500万元及以上</w:t>
      </w:r>
      <w:r>
        <w:rPr>
          <w:rFonts w:hint="default" w:ascii="Times New Roman" w:hAnsi="Times New Roman" w:eastAsia="仿宋_GB2312" w:cs="Times New Roman"/>
          <w:snapToGrid w:val="0"/>
          <w:color w:val="auto"/>
          <w:sz w:val="32"/>
          <w:szCs w:val="32"/>
        </w:rPr>
        <w:t>。</w:t>
      </w:r>
    </w:p>
    <w:p w14:paraId="0123AD4B">
      <w:pPr>
        <w:keepNext w:val="0"/>
        <w:keepLines w:val="0"/>
        <w:pageBreakBefore w:val="0"/>
        <w:widowControl w:val="0"/>
        <w:kinsoku/>
        <w:overflowPunct/>
        <w:topLinePunct w:val="0"/>
        <w:autoSpaceDE/>
        <w:autoSpaceDN/>
        <w:bidi w:val="0"/>
        <w:spacing w:line="58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rPr>
        <w:t>3</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_GB2312"/>
          <w:b/>
          <w:bCs/>
          <w:sz w:val="32"/>
          <w:szCs w:val="32"/>
        </w:rPr>
        <w:t>实施期限：</w:t>
      </w:r>
      <w:r>
        <w:rPr>
          <w:rFonts w:ascii="Times New Roman" w:hAnsi="Times New Roman" w:eastAsia="仿宋_GB2312"/>
          <w:snapToGrid w:val="0"/>
          <w:sz w:val="32"/>
          <w:szCs w:val="32"/>
        </w:rPr>
        <w:t>3年。</w:t>
      </w:r>
    </w:p>
    <w:p w14:paraId="3A56879C">
      <w:pPr>
        <w:keepNext w:val="0"/>
        <w:keepLines w:val="0"/>
        <w:pageBreakBefore w:val="0"/>
        <w:widowControl w:val="0"/>
        <w:kinsoku/>
        <w:overflowPunct/>
        <w:topLinePunct w:val="0"/>
        <w:autoSpaceDE/>
        <w:autoSpaceDN/>
        <w:bidi w:val="0"/>
        <w:spacing w:line="580" w:lineRule="exact"/>
        <w:ind w:firstLine="643" w:firstLineChars="200"/>
        <w:rPr>
          <w:rFonts w:ascii="Times New Roman" w:hAnsi="Times New Roman" w:eastAsia="仿宋_GB2312"/>
          <w:snapToGrid w:val="0"/>
          <w:sz w:val="32"/>
          <w:szCs w:val="32"/>
        </w:rPr>
      </w:pPr>
      <w:r>
        <w:rPr>
          <w:rFonts w:ascii="Times New Roman" w:hAnsi="Times New Roman" w:eastAsia="仿宋_GB2312"/>
          <w:b/>
          <w:bCs/>
          <w:sz w:val="32"/>
          <w:szCs w:val="32"/>
        </w:rPr>
        <w:t>4</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_GB2312"/>
          <w:b/>
          <w:bCs/>
          <w:sz w:val="32"/>
          <w:szCs w:val="32"/>
        </w:rPr>
        <w:t>资助经费：</w:t>
      </w:r>
      <w:r>
        <w:rPr>
          <w:rFonts w:ascii="Times New Roman" w:hAnsi="Times New Roman" w:eastAsia="仿宋_GB2312"/>
          <w:snapToGrid w:val="0"/>
          <w:sz w:val="32"/>
          <w:szCs w:val="32"/>
        </w:rPr>
        <w:t>不超过500万元。</w:t>
      </w:r>
    </w:p>
    <w:p w14:paraId="428B2C55">
      <w:pPr>
        <w:keepNext w:val="0"/>
        <w:keepLines w:val="0"/>
        <w:pageBreakBefore w:val="0"/>
        <w:widowControl w:val="0"/>
        <w:kinsoku/>
        <w:overflowPunct/>
        <w:topLinePunct w:val="0"/>
        <w:autoSpaceDE/>
        <w:autoSpaceDN/>
        <w:bidi w:val="0"/>
        <w:spacing w:line="580" w:lineRule="exact"/>
        <w:ind w:firstLine="643" w:firstLineChars="200"/>
        <w:rPr>
          <w:rFonts w:ascii="Times New Roman" w:hAnsi="Times New Roman" w:eastAsia="仿宋_GB2312"/>
          <w:b/>
          <w:bCs/>
          <w:sz w:val="32"/>
          <w:szCs w:val="32"/>
        </w:rPr>
      </w:pPr>
      <w:r>
        <w:rPr>
          <w:rFonts w:ascii="Times New Roman" w:hAnsi="Times New Roman" w:eastAsia="仿宋_GB2312"/>
          <w:b/>
          <w:bCs/>
          <w:sz w:val="32"/>
          <w:szCs w:val="32"/>
          <w:lang w:val="en"/>
        </w:rPr>
        <w:t>5</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_GB2312"/>
          <w:b/>
          <w:bCs/>
          <w:sz w:val="32"/>
          <w:szCs w:val="32"/>
          <w:lang w:val="en"/>
        </w:rPr>
        <w:t>相关说明：</w:t>
      </w:r>
      <w:r>
        <w:rPr>
          <w:rFonts w:ascii="Times New Roman" w:hAnsi="Times New Roman" w:eastAsia="仿宋_GB2312"/>
          <w:snapToGrid w:val="0"/>
          <w:sz w:val="32"/>
          <w:szCs w:val="32"/>
          <w:lang w:val="en"/>
        </w:rPr>
        <w:t>公开择优。</w:t>
      </w:r>
    </w:p>
    <w:p w14:paraId="7D90699D">
      <w:pPr>
        <w:pStyle w:val="6"/>
        <w:keepNext w:val="0"/>
        <w:keepLines w:val="0"/>
        <w:pageBreakBefore w:val="0"/>
        <w:widowControl w:val="0"/>
        <w:kinsoku/>
        <w:overflowPunct/>
        <w:topLinePunct w:val="0"/>
        <w:autoSpaceDE/>
        <w:autoSpaceDN/>
        <w:bidi w:val="0"/>
        <w:spacing w:before="0" w:after="0" w:line="580" w:lineRule="exact"/>
        <w:ind w:firstLine="643" w:firstLineChars="200"/>
        <w:rPr>
          <w:rFonts w:ascii="Times New Roman" w:hAnsi="Times New Roman" w:eastAsia="仿宋_GB2312"/>
          <w:b/>
          <w:color w:val="auto"/>
          <w:sz w:val="32"/>
          <w:szCs w:val="32"/>
        </w:rPr>
      </w:pPr>
    </w:p>
    <w:p w14:paraId="2BB8FD9B">
      <w:pPr>
        <w:pStyle w:val="6"/>
        <w:keepNext w:val="0"/>
        <w:keepLines w:val="0"/>
        <w:pageBreakBefore w:val="0"/>
        <w:widowControl w:val="0"/>
        <w:kinsoku/>
        <w:overflowPunct/>
        <w:topLinePunct w:val="0"/>
        <w:autoSpaceDE/>
        <w:autoSpaceDN/>
        <w:bidi w:val="0"/>
        <w:spacing w:before="0" w:after="0" w:line="580" w:lineRule="exact"/>
        <w:ind w:firstLine="640" w:firstLineChars="200"/>
        <w:rPr>
          <w:rFonts w:ascii="Times New Roman" w:hAnsi="Times New Roman" w:eastAsia="方正仿宋_GB2312"/>
          <w:b/>
          <w:color w:val="auto"/>
          <w:sz w:val="32"/>
          <w:szCs w:val="32"/>
        </w:rPr>
      </w:pPr>
      <w:r>
        <w:rPr>
          <w:rFonts w:hint="eastAsia" w:ascii="黑体" w:hAnsi="黑体" w:eastAsia="黑体" w:cs="黑体"/>
          <w:b w:val="0"/>
          <w:bCs/>
          <w:color w:val="auto"/>
          <w:sz w:val="32"/>
          <w:szCs w:val="32"/>
        </w:rPr>
        <w:t>专题</w:t>
      </w:r>
      <w:r>
        <w:rPr>
          <w:rFonts w:hint="eastAsia" w:ascii="黑体" w:hAnsi="黑体" w:eastAsia="黑体" w:cs="黑体"/>
          <w:b w:val="0"/>
          <w:bCs/>
          <w:color w:val="auto"/>
          <w:sz w:val="32"/>
          <w:szCs w:val="32"/>
          <w:lang w:eastAsia="zh-CN"/>
        </w:rPr>
        <w:t>二</w:t>
      </w:r>
      <w:r>
        <w:rPr>
          <w:rFonts w:hint="eastAsia" w:ascii="黑体" w:hAnsi="黑体" w:eastAsia="黑体" w:cs="黑体"/>
          <w:b w:val="0"/>
          <w:bCs/>
          <w:color w:val="auto"/>
          <w:sz w:val="32"/>
          <w:szCs w:val="32"/>
        </w:rPr>
        <w:t>：北部湾特色海洋中药资源关键技术研发与产业化</w:t>
      </w:r>
    </w:p>
    <w:p w14:paraId="70EE99E0">
      <w:pPr>
        <w:keepNext w:val="0"/>
        <w:keepLines w:val="0"/>
        <w:pageBreakBefore w:val="0"/>
        <w:widowControl w:val="0"/>
        <w:kinsoku/>
        <w:overflowPunct/>
        <w:topLinePunct w:val="0"/>
        <w:autoSpaceDE/>
        <w:autoSpaceDN/>
        <w:bidi w:val="0"/>
        <w:spacing w:line="580" w:lineRule="exact"/>
        <w:ind w:firstLine="643" w:firstLineChars="200"/>
        <w:rPr>
          <w:rFonts w:ascii="Times New Roman" w:hAnsi="Times New Roman" w:eastAsia="仿宋"/>
          <w:b/>
          <w:bCs/>
          <w:kern w:val="0"/>
          <w:sz w:val="31"/>
          <w:szCs w:val="31"/>
          <w:lang w:bidi="ar"/>
        </w:rPr>
      </w:pPr>
      <w:r>
        <w:rPr>
          <w:rFonts w:ascii="Times New Roman" w:hAnsi="Times New Roman" w:eastAsia="仿宋_GB2312"/>
          <w:b/>
          <w:sz w:val="32"/>
          <w:szCs w:val="32"/>
        </w:rPr>
        <w:t>方向</w:t>
      </w:r>
      <w:r>
        <w:rPr>
          <w:rFonts w:hint="eastAsia" w:ascii="Times New Roman" w:hAnsi="Times New Roman" w:eastAsia="仿宋_GB2312"/>
          <w:b/>
          <w:sz w:val="32"/>
          <w:szCs w:val="32"/>
          <w:lang w:val="en-US" w:eastAsia="zh-CN"/>
        </w:rPr>
        <w:t>1</w:t>
      </w:r>
      <w:r>
        <w:rPr>
          <w:rFonts w:ascii="Times New Roman" w:hAnsi="Times New Roman" w:eastAsia="仿宋_GB2312"/>
          <w:b/>
          <w:sz w:val="32"/>
          <w:szCs w:val="32"/>
        </w:rPr>
        <w:t>：北部湾特色海洋中药资源关键技术研发与产业化</w:t>
      </w:r>
    </w:p>
    <w:p w14:paraId="30C15385">
      <w:pPr>
        <w:keepNext w:val="0"/>
        <w:keepLines w:val="0"/>
        <w:pageBreakBefore w:val="0"/>
        <w:widowControl w:val="0"/>
        <w:kinsoku/>
        <w:overflowPunct/>
        <w:topLinePunct w:val="0"/>
        <w:autoSpaceDE/>
        <w:autoSpaceDN/>
        <w:bidi w:val="0"/>
        <w:spacing w:line="580" w:lineRule="exact"/>
        <w:ind w:firstLine="622" w:firstLineChars="200"/>
        <w:rPr>
          <w:rFonts w:ascii="Times New Roman" w:hAnsi="Times New Roman" w:eastAsia="仿宋_GB2312"/>
          <w:snapToGrid w:val="0"/>
          <w:sz w:val="32"/>
          <w:szCs w:val="32"/>
        </w:rPr>
      </w:pPr>
      <w:r>
        <w:rPr>
          <w:rFonts w:ascii="Times New Roman" w:hAnsi="Times New Roman" w:eastAsia="仿宋"/>
          <w:b/>
          <w:bCs/>
          <w:kern w:val="0"/>
          <w:sz w:val="31"/>
          <w:szCs w:val="31"/>
          <w:lang w:bidi="ar"/>
        </w:rPr>
        <w:t>1</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
          <w:b/>
          <w:bCs/>
          <w:kern w:val="0"/>
          <w:sz w:val="31"/>
          <w:szCs w:val="31"/>
          <w:lang w:bidi="ar"/>
        </w:rPr>
        <w:t>研究内容：</w:t>
      </w:r>
      <w:r>
        <w:rPr>
          <w:rFonts w:ascii="Times New Roman" w:hAnsi="Times New Roman" w:eastAsia="仿宋_GB2312"/>
          <w:snapToGrid w:val="0"/>
          <w:sz w:val="32"/>
          <w:szCs w:val="32"/>
        </w:rPr>
        <w:t>（1）建立特色海洋中药材（海马、海参、牡蛎、</w:t>
      </w:r>
      <w:r>
        <w:rPr>
          <w:rFonts w:hint="eastAsia" w:ascii="Times New Roman" w:hAnsi="Times New Roman" w:eastAsia="仿宋_GB2312"/>
          <w:snapToGrid w:val="0"/>
          <w:sz w:val="32"/>
          <w:szCs w:val="32"/>
        </w:rPr>
        <w:t>星虫</w:t>
      </w:r>
      <w:r>
        <w:rPr>
          <w:rFonts w:ascii="Times New Roman" w:hAnsi="Times New Roman" w:eastAsia="仿宋_GB2312"/>
          <w:snapToGrid w:val="0"/>
          <w:sz w:val="32"/>
          <w:szCs w:val="32"/>
        </w:rPr>
        <w:t>等）质量标准</w:t>
      </w:r>
      <w:r>
        <w:rPr>
          <w:rFonts w:hint="eastAsia" w:ascii="Times New Roman" w:hAnsi="Times New Roman" w:eastAsia="仿宋_GB2312"/>
          <w:snapToGrid w:val="0"/>
          <w:sz w:val="32"/>
          <w:szCs w:val="32"/>
        </w:rPr>
        <w:t>，</w:t>
      </w:r>
      <w:r>
        <w:rPr>
          <w:rFonts w:ascii="Times New Roman" w:hAnsi="Times New Roman" w:eastAsia="仿宋_GB2312"/>
          <w:snapToGrid w:val="0"/>
          <w:sz w:val="32"/>
          <w:szCs w:val="32"/>
        </w:rPr>
        <w:t>构建基于物联网</w:t>
      </w:r>
      <w:r>
        <w:rPr>
          <w:rFonts w:hint="eastAsia" w:ascii="Times New Roman" w:hAnsi="Times New Roman" w:eastAsia="仿宋_GB2312"/>
          <w:snapToGrid w:val="0"/>
          <w:sz w:val="32"/>
          <w:szCs w:val="32"/>
        </w:rPr>
        <w:t>和</w:t>
      </w:r>
      <w:r>
        <w:rPr>
          <w:rFonts w:ascii="Times New Roman" w:hAnsi="Times New Roman" w:eastAsia="仿宋_GB2312"/>
          <w:snapToGrid w:val="0"/>
          <w:sz w:val="32"/>
          <w:szCs w:val="32"/>
        </w:rPr>
        <w:t>区块链的药材智能溯源体系。（2）基于北部湾特色海洋中药，利用AI优化组方、预测药效物质基础，</w:t>
      </w:r>
      <w:r>
        <w:rPr>
          <w:rFonts w:hint="eastAsia" w:ascii="Times New Roman" w:hAnsi="Times New Roman" w:eastAsia="仿宋_GB2312"/>
          <w:snapToGrid w:val="0"/>
          <w:sz w:val="32"/>
          <w:szCs w:val="32"/>
        </w:rPr>
        <w:t>重点开展AI在辨证论治与制剂精准匹配中的应用研究，提升制剂开发的临床针对性。</w:t>
      </w:r>
      <w:r>
        <w:rPr>
          <w:rFonts w:ascii="Times New Roman" w:hAnsi="Times New Roman" w:eastAsia="仿宋_GB2312"/>
          <w:snapToGrid w:val="0"/>
          <w:sz w:val="32"/>
          <w:szCs w:val="32"/>
        </w:rPr>
        <w:t>（3）开展北部湾特色海洋中药的药效物质基础研究，阐明其作用机制，提高中医辨证分型与制剂适应症的匹配度。（4）开展海洋中药医疗机构制剂研究，带动海洋中药临床应用和产品开发。</w:t>
      </w:r>
      <w:r>
        <w:rPr>
          <w:rFonts w:hint="eastAsia" w:ascii="Times New Roman" w:hAnsi="Times New Roman" w:eastAsia="仿宋_GB2312"/>
          <w:snapToGrid w:val="0"/>
          <w:sz w:val="32"/>
          <w:szCs w:val="32"/>
        </w:rPr>
        <w:t>（5）构建海洋中药医疗机构制剂生产线，进行示范性生产。</w:t>
      </w:r>
    </w:p>
    <w:p w14:paraId="158844A6">
      <w:pPr>
        <w:keepNext w:val="0"/>
        <w:keepLines w:val="0"/>
        <w:pageBreakBefore w:val="0"/>
        <w:widowControl w:val="0"/>
        <w:kinsoku/>
        <w:overflowPunct/>
        <w:topLinePunct w:val="0"/>
        <w:autoSpaceDE/>
        <w:autoSpaceDN/>
        <w:bidi w:val="0"/>
        <w:spacing w:line="580" w:lineRule="exact"/>
        <w:ind w:firstLine="643" w:firstLineChars="200"/>
        <w:rPr>
          <w:rFonts w:hint="eastAsia" w:ascii="Times New Roman" w:hAnsi="Times New Roman" w:eastAsia="仿宋_GB2312"/>
          <w:b/>
          <w:bCs/>
          <w:sz w:val="32"/>
          <w:szCs w:val="32"/>
        </w:rPr>
      </w:pPr>
      <w:r>
        <w:rPr>
          <w:rFonts w:hint="eastAsia" w:ascii="Times New Roman" w:hAnsi="Times New Roman" w:eastAsia="仿宋_GB2312"/>
          <w:b/>
          <w:bCs/>
          <w:sz w:val="32"/>
          <w:szCs w:val="32"/>
        </w:rPr>
        <w:t>2．考核指标</w:t>
      </w:r>
      <w:r>
        <w:rPr>
          <w:rFonts w:hint="eastAsia" w:ascii="Times New Roman" w:hAnsi="Times New Roman" w:eastAsia="仿宋_GB2312"/>
          <w:b w:val="0"/>
          <w:bCs w:val="0"/>
          <w:sz w:val="32"/>
          <w:szCs w:val="32"/>
        </w:rPr>
        <w:t>：（1）编制并发布地方标准/行业标准/团体标准3项；构建药材智能溯源体系1套。（2）建立AI辅助的制剂工艺优化和质量控制体系2套，生产效率提高15%以上；开发海洋中药质量快速评价系统1套，生产周期缩短10%以上。（3）获得医疗机构制剂注册批件或备案号1个及以上。（4）项目实施期内，构建年产能10万盒示范生产线1条，实现销售收入0.5亿元及以上，新增利税500万元及以上。（5）授权发明专利5件及以上。</w:t>
      </w:r>
    </w:p>
    <w:p w14:paraId="333A6682">
      <w:pPr>
        <w:keepNext w:val="0"/>
        <w:keepLines w:val="0"/>
        <w:pageBreakBefore w:val="0"/>
        <w:widowControl w:val="0"/>
        <w:kinsoku/>
        <w:overflowPunct/>
        <w:topLinePunct w:val="0"/>
        <w:autoSpaceDE/>
        <w:autoSpaceDN/>
        <w:bidi w:val="0"/>
        <w:spacing w:line="580"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3</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_GB2312"/>
          <w:b/>
          <w:bCs/>
          <w:sz w:val="32"/>
          <w:szCs w:val="32"/>
        </w:rPr>
        <w:t>实施期限：</w:t>
      </w:r>
      <w:r>
        <w:rPr>
          <w:rFonts w:ascii="Times New Roman" w:hAnsi="Times New Roman" w:eastAsia="仿宋_GB2312"/>
          <w:sz w:val="32"/>
          <w:szCs w:val="32"/>
        </w:rPr>
        <w:t>3年。</w:t>
      </w:r>
    </w:p>
    <w:p w14:paraId="6B42A00E">
      <w:pPr>
        <w:keepNext w:val="0"/>
        <w:keepLines w:val="0"/>
        <w:pageBreakBefore w:val="0"/>
        <w:widowControl w:val="0"/>
        <w:kinsoku/>
        <w:overflowPunct/>
        <w:topLinePunct w:val="0"/>
        <w:autoSpaceDE/>
        <w:autoSpaceDN/>
        <w:bidi w:val="0"/>
        <w:spacing w:line="580"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4</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_GB2312"/>
          <w:b/>
          <w:bCs/>
          <w:sz w:val="32"/>
          <w:szCs w:val="32"/>
        </w:rPr>
        <w:t>资助经费</w:t>
      </w:r>
      <w:r>
        <w:rPr>
          <w:rFonts w:ascii="Times New Roman" w:hAnsi="Times New Roman" w:eastAsia="仿宋_GB2312"/>
          <w:sz w:val="32"/>
          <w:szCs w:val="32"/>
        </w:rPr>
        <w:t>：</w:t>
      </w:r>
      <w:r>
        <w:rPr>
          <w:rFonts w:ascii="Times New Roman" w:hAnsi="Times New Roman" w:eastAsia="仿宋_GB2312"/>
          <w:snapToGrid w:val="0"/>
          <w:sz w:val="32"/>
          <w:szCs w:val="32"/>
        </w:rPr>
        <w:t>不超过</w:t>
      </w:r>
      <w:r>
        <w:rPr>
          <w:rFonts w:ascii="Times New Roman" w:hAnsi="Times New Roman" w:eastAsia="仿宋_GB2312"/>
          <w:sz w:val="32"/>
          <w:szCs w:val="32"/>
        </w:rPr>
        <w:t>500万元。</w:t>
      </w:r>
    </w:p>
    <w:p w14:paraId="0971FA7A">
      <w:pPr>
        <w:keepNext w:val="0"/>
        <w:keepLines w:val="0"/>
        <w:pageBreakBefore w:val="0"/>
        <w:widowControl w:val="0"/>
        <w:kinsoku/>
        <w:overflowPunct/>
        <w:topLinePunct w:val="0"/>
        <w:autoSpaceDE/>
        <w:autoSpaceDN/>
        <w:bidi w:val="0"/>
        <w:spacing w:line="580"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5</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_GB2312"/>
          <w:b/>
          <w:bCs/>
          <w:sz w:val="32"/>
          <w:szCs w:val="32"/>
        </w:rPr>
        <w:t>相关说明：</w:t>
      </w:r>
      <w:r>
        <w:rPr>
          <w:rFonts w:ascii="Times New Roman" w:hAnsi="Times New Roman" w:eastAsia="仿宋_GB2312"/>
          <w:sz w:val="32"/>
          <w:szCs w:val="32"/>
        </w:rPr>
        <w:t>公开择优。</w:t>
      </w:r>
    </w:p>
    <w:p w14:paraId="24680E7F">
      <w:pPr>
        <w:keepNext w:val="0"/>
        <w:keepLines w:val="0"/>
        <w:pageBreakBefore w:val="0"/>
        <w:widowControl w:val="0"/>
        <w:kinsoku/>
        <w:overflowPunct/>
        <w:topLinePunct w:val="0"/>
        <w:autoSpaceDE/>
        <w:autoSpaceDN/>
        <w:bidi w:val="0"/>
        <w:spacing w:line="580" w:lineRule="exact"/>
        <w:rPr>
          <w:rFonts w:ascii="Times New Roman" w:hAnsi="Times New Roman" w:eastAsia="仿宋_GB2312"/>
          <w:snapToGrid w:val="0"/>
          <w:sz w:val="32"/>
          <w:szCs w:val="32"/>
        </w:rPr>
      </w:pPr>
    </w:p>
    <w:p w14:paraId="77D09019">
      <w:pPr>
        <w:keepNext w:val="0"/>
        <w:keepLines w:val="0"/>
        <w:pageBreakBefore w:val="0"/>
        <w:widowControl w:val="0"/>
        <w:kinsoku/>
        <w:overflowPunct/>
        <w:topLinePunct w:val="0"/>
        <w:autoSpaceDE/>
        <w:autoSpaceDN/>
        <w:bidi w:val="0"/>
        <w:spacing w:line="580" w:lineRule="exact"/>
        <w:ind w:firstLine="640" w:firstLineChars="200"/>
        <w:rPr>
          <w:rFonts w:ascii="Times New Roman" w:hAnsi="Times New Roman" w:eastAsia="方正仿宋_GB2312"/>
          <w:b/>
          <w:sz w:val="32"/>
          <w:szCs w:val="32"/>
        </w:rPr>
      </w:pPr>
      <w:r>
        <w:rPr>
          <w:rFonts w:hint="eastAsia" w:ascii="黑体" w:hAnsi="黑体" w:eastAsia="黑体" w:cs="黑体"/>
          <w:b w:val="0"/>
          <w:bCs/>
          <w:sz w:val="32"/>
          <w:szCs w:val="32"/>
        </w:rPr>
        <w:t>专题</w:t>
      </w:r>
      <w:r>
        <w:rPr>
          <w:rFonts w:hint="eastAsia" w:ascii="黑体" w:hAnsi="黑体" w:eastAsia="黑体" w:cs="黑体"/>
          <w:b w:val="0"/>
          <w:bCs/>
          <w:sz w:val="32"/>
          <w:szCs w:val="32"/>
          <w:lang w:eastAsia="zh-CN"/>
        </w:rPr>
        <w:t>三</w:t>
      </w:r>
      <w:r>
        <w:rPr>
          <w:rFonts w:hint="eastAsia" w:ascii="黑体" w:hAnsi="黑体" w:eastAsia="黑体" w:cs="黑体"/>
          <w:b w:val="0"/>
          <w:bCs/>
          <w:sz w:val="32"/>
          <w:szCs w:val="32"/>
        </w:rPr>
        <w:t>：新型海洋生物制品研发与产业化示范</w:t>
      </w:r>
    </w:p>
    <w:p w14:paraId="5C5D4B4B">
      <w:pPr>
        <w:pStyle w:val="6"/>
        <w:keepNext w:val="0"/>
        <w:keepLines w:val="0"/>
        <w:pageBreakBefore w:val="0"/>
        <w:widowControl w:val="0"/>
        <w:kinsoku/>
        <w:overflowPunct/>
        <w:topLinePunct w:val="0"/>
        <w:autoSpaceDE/>
        <w:autoSpaceDN/>
        <w:bidi w:val="0"/>
        <w:spacing w:before="0" w:after="0" w:line="580" w:lineRule="exact"/>
        <w:ind w:firstLine="643" w:firstLineChars="200"/>
        <w:rPr>
          <w:rFonts w:ascii="Times New Roman" w:hAnsi="Times New Roman" w:eastAsia="方正仿宋_GB2312"/>
          <w:b/>
          <w:color w:val="auto"/>
          <w:sz w:val="32"/>
          <w:szCs w:val="32"/>
        </w:rPr>
      </w:pPr>
      <w:r>
        <w:rPr>
          <w:rFonts w:ascii="Times New Roman" w:hAnsi="Times New Roman" w:eastAsia="方正仿宋_GB2312"/>
          <w:b/>
          <w:color w:val="auto"/>
          <w:sz w:val="32"/>
          <w:szCs w:val="32"/>
        </w:rPr>
        <w:t>方向</w:t>
      </w:r>
      <w:r>
        <w:rPr>
          <w:rFonts w:ascii="Times New Roman" w:hAnsi="Times New Roman" w:eastAsia="方正仿宋_GB2312"/>
          <w:b/>
          <w:color w:val="auto"/>
          <w:sz w:val="32"/>
          <w:szCs w:val="32"/>
          <w:lang w:val="en"/>
        </w:rPr>
        <w:t>1</w:t>
      </w:r>
      <w:r>
        <w:rPr>
          <w:rFonts w:ascii="Times New Roman" w:hAnsi="Times New Roman" w:eastAsia="方正仿宋_GB2312"/>
          <w:b/>
          <w:color w:val="auto"/>
          <w:sz w:val="32"/>
          <w:szCs w:val="32"/>
        </w:rPr>
        <w:t>：</w:t>
      </w:r>
      <w:r>
        <w:rPr>
          <w:rFonts w:hint="eastAsia" w:ascii="Times New Roman" w:hAnsi="Times New Roman" w:eastAsia="方正仿宋_GB2312"/>
          <w:b/>
          <w:color w:val="auto"/>
          <w:sz w:val="32"/>
          <w:szCs w:val="32"/>
        </w:rPr>
        <w:t>新型</w:t>
      </w:r>
      <w:r>
        <w:rPr>
          <w:rFonts w:ascii="Times New Roman" w:hAnsi="Times New Roman" w:eastAsia="方正仿宋_GB2312"/>
          <w:b/>
          <w:color w:val="auto"/>
          <w:sz w:val="32"/>
          <w:szCs w:val="32"/>
        </w:rPr>
        <w:t>海洋功能制品的研发与产业化示范</w:t>
      </w:r>
    </w:p>
    <w:p w14:paraId="72F89B0E">
      <w:pPr>
        <w:pStyle w:val="2"/>
        <w:keepNext w:val="0"/>
        <w:keepLines w:val="0"/>
        <w:pageBreakBefore w:val="0"/>
        <w:widowControl w:val="0"/>
        <w:kinsoku/>
        <w:overflowPunct/>
        <w:topLinePunct w:val="0"/>
        <w:autoSpaceDE/>
        <w:autoSpaceDN/>
        <w:bidi w:val="0"/>
        <w:adjustRightInd/>
        <w:spacing w:line="580" w:lineRule="exact"/>
        <w:ind w:firstLine="643" w:firstLineChars="200"/>
        <w:textAlignment w:val="auto"/>
        <w:rPr>
          <w:rFonts w:hint="default" w:ascii="Times New Roman" w:hAnsi="Times New Roman" w:eastAsia="仿宋_GB2312" w:cs="Times New Roman"/>
          <w:snapToGrid w:val="0"/>
          <w:color w:val="auto"/>
          <w:sz w:val="32"/>
          <w:szCs w:val="32"/>
        </w:rPr>
      </w:pPr>
      <w:r>
        <w:rPr>
          <w:rFonts w:hint="default" w:ascii="Times New Roman" w:hAnsi="Times New Roman" w:eastAsia="仿宋_GB2312" w:cs="Times New Roman"/>
          <w:b/>
          <w:bCs/>
          <w:color w:val="auto"/>
          <w:sz w:val="32"/>
          <w:szCs w:val="32"/>
        </w:rPr>
        <w:t>1</w:t>
      </w:r>
      <w:r>
        <w:rPr>
          <w:rFonts w:hint="default" w:ascii="Times New Roman" w:hAnsi="Times New Roman" w:eastAsia="仿宋_GB2312" w:cs="Times New Roman"/>
          <w:b/>
          <w:bCs/>
          <w:snapToGrid w:val="0"/>
          <w:color w:val="auto"/>
          <w:sz w:val="32"/>
          <w:szCs w:val="32"/>
          <w:highlight w:val="none"/>
        </w:rPr>
        <w:t>．</w:t>
      </w:r>
      <w:r>
        <w:rPr>
          <w:rFonts w:hint="default" w:ascii="Times New Roman" w:hAnsi="Times New Roman" w:eastAsia="仿宋_GB2312" w:cs="Times New Roman"/>
          <w:b/>
          <w:bCs/>
          <w:color w:val="auto"/>
          <w:sz w:val="32"/>
          <w:szCs w:val="32"/>
        </w:rPr>
        <w:t>研究内容：</w:t>
      </w:r>
      <w:r>
        <w:rPr>
          <w:rFonts w:hint="default" w:ascii="Times New Roman" w:hAnsi="Times New Roman" w:eastAsia="仿宋_GB2312" w:cs="Times New Roman"/>
          <w:snapToGrid w:val="0"/>
          <w:color w:val="auto"/>
          <w:sz w:val="32"/>
          <w:szCs w:val="32"/>
        </w:rPr>
        <w:t>（1）基于</w:t>
      </w:r>
      <w:r>
        <w:rPr>
          <w:rFonts w:ascii="Times New Roman" w:hAnsi="Times New Roman" w:eastAsia="仿宋_GB2312" w:cs="Times New Roman"/>
          <w:snapToGrid w:val="0"/>
          <w:color w:val="auto"/>
          <w:sz w:val="32"/>
          <w:szCs w:val="32"/>
        </w:rPr>
        <w:t>AI开展</w:t>
      </w:r>
      <w:r>
        <w:rPr>
          <w:rFonts w:hint="default" w:ascii="Times New Roman" w:hAnsi="Times New Roman" w:eastAsia="仿宋_GB2312" w:cs="Times New Roman"/>
          <w:snapToGrid w:val="0"/>
          <w:color w:val="auto"/>
          <w:sz w:val="32"/>
          <w:szCs w:val="32"/>
        </w:rPr>
        <w:t>活性预测，挖掘海洋微生物</w:t>
      </w:r>
      <w:r>
        <w:rPr>
          <w:rFonts w:ascii="Times New Roman" w:hAnsi="Times New Roman" w:eastAsia="仿宋_GB2312" w:cs="Times New Roman"/>
          <w:snapToGrid w:val="0"/>
          <w:color w:val="auto"/>
          <w:sz w:val="32"/>
          <w:szCs w:val="32"/>
        </w:rPr>
        <w:t>、动植物</w:t>
      </w:r>
      <w:r>
        <w:rPr>
          <w:rFonts w:hint="default" w:ascii="Times New Roman" w:hAnsi="Times New Roman" w:eastAsia="仿宋_GB2312" w:cs="Times New Roman"/>
          <w:snapToGrid w:val="0"/>
          <w:color w:val="auto"/>
          <w:sz w:val="32"/>
          <w:szCs w:val="32"/>
        </w:rPr>
        <w:t>等生物来源的活性成分</w:t>
      </w:r>
      <w:r>
        <w:rPr>
          <w:rFonts w:ascii="Times New Roman" w:hAnsi="Times New Roman" w:eastAsia="仿宋_GB2312" w:cs="Times New Roman"/>
          <w:snapToGrid w:val="0"/>
          <w:color w:val="auto"/>
          <w:sz w:val="32"/>
          <w:szCs w:val="32"/>
        </w:rPr>
        <w:t>，开展</w:t>
      </w:r>
      <w:r>
        <w:rPr>
          <w:rFonts w:hint="default" w:ascii="Times New Roman" w:hAnsi="Times New Roman" w:eastAsia="仿宋_GB2312" w:cs="Times New Roman"/>
          <w:snapToGrid w:val="0"/>
          <w:color w:val="auto"/>
          <w:sz w:val="32"/>
          <w:szCs w:val="32"/>
        </w:rPr>
        <w:t>药理功能及合成机制</w:t>
      </w:r>
      <w:r>
        <w:rPr>
          <w:rFonts w:ascii="Times New Roman" w:hAnsi="Times New Roman" w:eastAsia="仿宋_GB2312" w:cs="Times New Roman"/>
          <w:snapToGrid w:val="0"/>
          <w:color w:val="auto"/>
          <w:sz w:val="32"/>
          <w:szCs w:val="32"/>
        </w:rPr>
        <w:t>研究</w:t>
      </w:r>
      <w:r>
        <w:rPr>
          <w:rFonts w:hint="default" w:ascii="Times New Roman" w:hAnsi="Times New Roman" w:eastAsia="仿宋_GB2312" w:cs="Times New Roman"/>
          <w:snapToGrid w:val="0"/>
          <w:color w:val="auto"/>
          <w:sz w:val="32"/>
          <w:szCs w:val="32"/>
        </w:rPr>
        <w:t>，对稀有资源布局人工合成替代</w:t>
      </w:r>
      <w:r>
        <w:rPr>
          <w:rFonts w:ascii="Times New Roman" w:hAnsi="Times New Roman" w:eastAsia="仿宋_GB2312" w:cs="Times New Roman"/>
          <w:snapToGrid w:val="0"/>
          <w:color w:val="auto"/>
          <w:sz w:val="32"/>
          <w:szCs w:val="32"/>
        </w:rPr>
        <w:t>研究</w:t>
      </w:r>
      <w:r>
        <w:rPr>
          <w:rFonts w:hint="default" w:ascii="Times New Roman" w:hAnsi="Times New Roman" w:eastAsia="仿宋_GB2312" w:cs="Times New Roman"/>
          <w:snapToGrid w:val="0"/>
          <w:color w:val="auto"/>
          <w:sz w:val="32"/>
          <w:szCs w:val="32"/>
        </w:rPr>
        <w:t>。（2）研发海洋生物制品高纯度定向提取制备新工艺，实现全流程自动化与智能化技术，建立可规模化生产的创新制备体系。（3）研制健康养殖和深加工的酶和微生物制剂，构建免疫调节、抗衰老、抗血栓、抗炎等功效的新型高附加值生物制品。</w:t>
      </w:r>
    </w:p>
    <w:p w14:paraId="2571A848">
      <w:pPr>
        <w:pStyle w:val="2"/>
        <w:keepNext w:val="0"/>
        <w:keepLines w:val="0"/>
        <w:pageBreakBefore w:val="0"/>
        <w:widowControl w:val="0"/>
        <w:kinsoku/>
        <w:overflowPunct/>
        <w:topLinePunct w:val="0"/>
        <w:autoSpaceDE/>
        <w:autoSpaceDN/>
        <w:bidi w:val="0"/>
        <w:adjustRightInd/>
        <w:spacing w:line="58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snapToGrid w:val="0"/>
          <w:color w:val="auto"/>
          <w:sz w:val="32"/>
          <w:szCs w:val="32"/>
        </w:rPr>
        <w:t>2</w:t>
      </w:r>
      <w:r>
        <w:rPr>
          <w:rFonts w:hint="default" w:ascii="Times New Roman" w:hAnsi="Times New Roman" w:eastAsia="仿宋_GB2312" w:cs="Times New Roman"/>
          <w:b/>
          <w:bCs/>
          <w:snapToGrid w:val="0"/>
          <w:color w:val="auto"/>
          <w:sz w:val="32"/>
          <w:szCs w:val="32"/>
          <w:highlight w:val="none"/>
        </w:rPr>
        <w:t>．</w:t>
      </w:r>
      <w:r>
        <w:rPr>
          <w:rFonts w:hint="default" w:ascii="Times New Roman" w:hAnsi="Times New Roman" w:eastAsia="仿宋_GB2312" w:cs="Times New Roman"/>
          <w:b/>
          <w:bCs/>
          <w:snapToGrid w:val="0"/>
          <w:color w:val="auto"/>
          <w:sz w:val="32"/>
          <w:szCs w:val="32"/>
        </w:rPr>
        <w:t>考核指标：</w:t>
      </w:r>
      <w:r>
        <w:rPr>
          <w:rFonts w:hint="default" w:ascii="Times New Roman" w:hAnsi="Times New Roman" w:eastAsia="仿宋_GB2312" w:cs="Times New Roman"/>
          <w:snapToGrid w:val="0"/>
          <w:color w:val="auto"/>
          <w:sz w:val="32"/>
          <w:szCs w:val="32"/>
        </w:rPr>
        <w:t>（1）开发基于新型层析介质与膜分离技术联用的海洋生物活性成分定向分离纯化工艺体系，</w:t>
      </w:r>
      <w:r>
        <w:rPr>
          <w:rFonts w:ascii="Times New Roman" w:hAnsi="Times New Roman" w:eastAsia="仿宋_GB2312" w:cs="Times New Roman"/>
          <w:snapToGrid w:val="0"/>
          <w:color w:val="auto"/>
          <w:sz w:val="32"/>
          <w:szCs w:val="32"/>
        </w:rPr>
        <w:t>活性成分</w:t>
      </w:r>
      <w:r>
        <w:rPr>
          <w:rFonts w:hint="default" w:ascii="Times New Roman" w:hAnsi="Times New Roman" w:eastAsia="仿宋_GB2312" w:cs="Times New Roman"/>
          <w:snapToGrid w:val="0"/>
          <w:color w:val="auto"/>
          <w:sz w:val="32"/>
          <w:szCs w:val="32"/>
        </w:rPr>
        <w:t>纯度≥98%，批间稳定性相对标准偏差≤5%；开发海洋来源的检测试剂，对内毒素检测灵敏度达到0.005EU/mL</w:t>
      </w:r>
      <w:r>
        <w:rPr>
          <w:rFonts w:ascii="Times New Roman" w:hAnsi="Times New Roman" w:eastAsia="仿宋_GB2312" w:cs="Times New Roman"/>
          <w:snapToGrid w:val="0"/>
          <w:color w:val="auto"/>
          <w:sz w:val="32"/>
          <w:szCs w:val="32"/>
        </w:rPr>
        <w:t>。（2）</w:t>
      </w:r>
      <w:r>
        <w:rPr>
          <w:rFonts w:hint="default" w:ascii="Times New Roman" w:hAnsi="Times New Roman" w:eastAsia="仿宋_GB2312" w:cs="Times New Roman"/>
          <w:snapToGrid w:val="0"/>
          <w:color w:val="auto"/>
          <w:sz w:val="32"/>
          <w:szCs w:val="32"/>
        </w:rPr>
        <w:t>检测试剂产品获注册证3项以上；研发海洋微生物菌剂、酶或生物活性制品等新产品3个以上。（</w:t>
      </w:r>
      <w:r>
        <w:rPr>
          <w:rFonts w:ascii="Times New Roman" w:hAnsi="Times New Roman" w:eastAsia="仿宋_GB2312" w:cs="Times New Roman"/>
          <w:snapToGrid w:val="0"/>
          <w:color w:val="auto"/>
          <w:sz w:val="32"/>
          <w:szCs w:val="32"/>
        </w:rPr>
        <w:t>3</w:t>
      </w:r>
      <w:r>
        <w:rPr>
          <w:rFonts w:hint="default" w:ascii="Times New Roman" w:hAnsi="Times New Roman" w:eastAsia="仿宋_GB2312" w:cs="Times New Roman"/>
          <w:snapToGrid w:val="0"/>
          <w:color w:val="auto"/>
          <w:sz w:val="32"/>
          <w:szCs w:val="32"/>
        </w:rPr>
        <w:t>）编制并发布地方标准/行业标准/团体标准</w:t>
      </w:r>
      <w:r>
        <w:rPr>
          <w:rFonts w:ascii="Times New Roman" w:hAnsi="Times New Roman" w:eastAsia="仿宋_GB2312" w:cs="Times New Roman"/>
          <w:snapToGrid w:val="0"/>
          <w:color w:val="auto"/>
          <w:sz w:val="32"/>
          <w:szCs w:val="32"/>
        </w:rPr>
        <w:t>3</w:t>
      </w:r>
      <w:r>
        <w:rPr>
          <w:rFonts w:hint="default" w:ascii="Times New Roman" w:hAnsi="Times New Roman" w:eastAsia="仿宋_GB2312" w:cs="Times New Roman"/>
          <w:snapToGrid w:val="0"/>
          <w:color w:val="auto"/>
          <w:sz w:val="32"/>
          <w:szCs w:val="32"/>
        </w:rPr>
        <w:t>项</w:t>
      </w:r>
      <w:r>
        <w:rPr>
          <w:rFonts w:hint="eastAsia" w:ascii="Times New Roman" w:hAnsi="Times New Roman" w:eastAsia="仿宋_GB2312" w:cs="Times New Roman"/>
          <w:snapToGrid w:val="0"/>
          <w:color w:val="auto"/>
          <w:sz w:val="32"/>
          <w:szCs w:val="32"/>
          <w:lang w:val="en-US" w:eastAsia="zh-CN"/>
        </w:rPr>
        <w:t>及以上</w:t>
      </w:r>
      <w:r>
        <w:rPr>
          <w:rFonts w:ascii="Times New Roman" w:hAnsi="Times New Roman" w:eastAsia="仿宋_GB2312" w:cs="Times New Roman"/>
          <w:snapToGrid w:val="0"/>
          <w:color w:val="auto"/>
          <w:sz w:val="32"/>
          <w:szCs w:val="32"/>
        </w:rPr>
        <w:t>。</w:t>
      </w:r>
      <w:r>
        <w:rPr>
          <w:rFonts w:hint="default" w:ascii="Times New Roman" w:hAnsi="Times New Roman" w:eastAsia="仿宋_GB2312" w:cs="Times New Roman"/>
          <w:snapToGrid w:val="0"/>
          <w:color w:val="auto"/>
          <w:sz w:val="32"/>
          <w:szCs w:val="32"/>
        </w:rPr>
        <w:t>（</w:t>
      </w:r>
      <w:r>
        <w:rPr>
          <w:rFonts w:ascii="Times New Roman" w:hAnsi="Times New Roman" w:eastAsia="仿宋_GB2312" w:cs="Times New Roman"/>
          <w:snapToGrid w:val="0"/>
          <w:color w:val="auto"/>
          <w:sz w:val="32"/>
          <w:szCs w:val="32"/>
        </w:rPr>
        <w:t>4</w:t>
      </w:r>
      <w:r>
        <w:rPr>
          <w:rFonts w:hint="default" w:ascii="Times New Roman" w:hAnsi="Times New Roman" w:eastAsia="仿宋_GB2312" w:cs="Times New Roman"/>
          <w:snapToGrid w:val="0"/>
          <w:color w:val="auto"/>
          <w:sz w:val="32"/>
          <w:szCs w:val="32"/>
        </w:rPr>
        <w:t>）项目实施期</w:t>
      </w:r>
      <w:r>
        <w:rPr>
          <w:rFonts w:ascii="Times New Roman" w:hAnsi="Times New Roman" w:eastAsia="仿宋_GB2312" w:cs="Times New Roman"/>
          <w:snapToGrid w:val="0"/>
          <w:color w:val="auto"/>
          <w:sz w:val="32"/>
          <w:szCs w:val="32"/>
        </w:rPr>
        <w:t>内</w:t>
      </w:r>
      <w:r>
        <w:rPr>
          <w:rFonts w:hint="default" w:ascii="Times New Roman" w:hAnsi="Times New Roman" w:eastAsia="仿宋_GB2312" w:cs="Times New Roman"/>
          <w:snapToGrid w:val="0"/>
          <w:color w:val="auto"/>
          <w:sz w:val="32"/>
          <w:szCs w:val="32"/>
        </w:rPr>
        <w:t>，建成</w:t>
      </w:r>
      <w:r>
        <w:rPr>
          <w:rFonts w:ascii="Times New Roman" w:hAnsi="Times New Roman" w:eastAsia="仿宋_GB2312" w:cs="Times New Roman"/>
          <w:snapToGrid w:val="0"/>
          <w:color w:val="auto"/>
          <w:sz w:val="32"/>
          <w:szCs w:val="32"/>
        </w:rPr>
        <w:t>千</w:t>
      </w:r>
      <w:r>
        <w:rPr>
          <w:rFonts w:hint="default" w:ascii="Times New Roman" w:hAnsi="Times New Roman" w:eastAsia="仿宋_GB2312" w:cs="Times New Roman"/>
          <w:snapToGrid w:val="0"/>
          <w:color w:val="auto"/>
          <w:sz w:val="32"/>
          <w:szCs w:val="32"/>
        </w:rPr>
        <w:t>吨级示范生产线1条，</w:t>
      </w:r>
      <w:r>
        <w:rPr>
          <w:rFonts w:ascii="Times New Roman" w:hAnsi="Times New Roman" w:eastAsia="仿宋_GB2312" w:cs="Times New Roman"/>
          <w:snapToGrid w:val="0"/>
          <w:color w:val="auto"/>
          <w:sz w:val="32"/>
          <w:szCs w:val="32"/>
        </w:rPr>
        <w:t>实现</w:t>
      </w:r>
      <w:r>
        <w:rPr>
          <w:rFonts w:hint="default" w:ascii="Times New Roman" w:hAnsi="Times New Roman" w:eastAsia="仿宋_GB2312" w:cs="Times New Roman"/>
          <w:snapToGrid w:val="0"/>
          <w:color w:val="auto"/>
          <w:sz w:val="32"/>
          <w:szCs w:val="32"/>
        </w:rPr>
        <w:t>销售收入</w:t>
      </w:r>
      <w:r>
        <w:rPr>
          <w:rFonts w:ascii="Times New Roman" w:hAnsi="Times New Roman" w:eastAsia="仿宋_GB2312" w:cs="Times New Roman"/>
          <w:snapToGrid w:val="0"/>
          <w:color w:val="auto"/>
          <w:sz w:val="32"/>
          <w:szCs w:val="32"/>
        </w:rPr>
        <w:t>0.8</w:t>
      </w:r>
      <w:r>
        <w:rPr>
          <w:rFonts w:hint="default" w:ascii="Times New Roman" w:hAnsi="Times New Roman" w:eastAsia="仿宋_GB2312" w:cs="Times New Roman"/>
          <w:snapToGrid w:val="0"/>
          <w:color w:val="auto"/>
          <w:sz w:val="32"/>
          <w:szCs w:val="32"/>
        </w:rPr>
        <w:t>亿元</w:t>
      </w:r>
      <w:r>
        <w:rPr>
          <w:rFonts w:ascii="Times New Roman" w:hAnsi="Times New Roman" w:eastAsia="仿宋_GB2312" w:cs="Times New Roman"/>
          <w:snapToGrid w:val="0"/>
          <w:color w:val="auto"/>
          <w:sz w:val="32"/>
          <w:szCs w:val="32"/>
        </w:rPr>
        <w:t>及</w:t>
      </w:r>
      <w:r>
        <w:rPr>
          <w:rFonts w:hint="default" w:ascii="Times New Roman" w:hAnsi="Times New Roman" w:eastAsia="仿宋_GB2312" w:cs="Times New Roman"/>
          <w:snapToGrid w:val="0"/>
          <w:color w:val="auto"/>
          <w:sz w:val="32"/>
          <w:szCs w:val="32"/>
        </w:rPr>
        <w:t>以上，新增利税</w:t>
      </w:r>
      <w:r>
        <w:rPr>
          <w:rFonts w:ascii="Times New Roman" w:hAnsi="Times New Roman" w:eastAsia="仿宋_GB2312" w:cs="Times New Roman"/>
          <w:snapToGrid w:val="0"/>
          <w:color w:val="auto"/>
          <w:sz w:val="32"/>
          <w:szCs w:val="32"/>
        </w:rPr>
        <w:t>5</w:t>
      </w:r>
      <w:r>
        <w:rPr>
          <w:rFonts w:hint="default" w:ascii="Times New Roman" w:hAnsi="Times New Roman" w:eastAsia="仿宋_GB2312" w:cs="Times New Roman"/>
          <w:snapToGrid w:val="0"/>
          <w:color w:val="auto"/>
          <w:sz w:val="32"/>
          <w:szCs w:val="32"/>
        </w:rPr>
        <w:t>00万</w:t>
      </w:r>
      <w:r>
        <w:rPr>
          <w:rFonts w:ascii="Times New Roman" w:hAnsi="Times New Roman" w:eastAsia="仿宋_GB2312" w:cs="Times New Roman"/>
          <w:snapToGrid w:val="0"/>
          <w:color w:val="auto"/>
          <w:sz w:val="32"/>
          <w:szCs w:val="32"/>
        </w:rPr>
        <w:t>元及</w:t>
      </w:r>
      <w:r>
        <w:rPr>
          <w:rFonts w:hint="default" w:ascii="Times New Roman" w:hAnsi="Times New Roman" w:eastAsia="仿宋_GB2312" w:cs="Times New Roman"/>
          <w:snapToGrid w:val="0"/>
          <w:color w:val="auto"/>
          <w:sz w:val="32"/>
          <w:szCs w:val="32"/>
        </w:rPr>
        <w:t>以上</w:t>
      </w:r>
      <w:r>
        <w:rPr>
          <w:rFonts w:ascii="Times New Roman" w:hAnsi="Times New Roman" w:eastAsia="仿宋_GB2312" w:cs="Times New Roman"/>
          <w:snapToGrid w:val="0"/>
          <w:color w:val="auto"/>
          <w:sz w:val="32"/>
          <w:szCs w:val="32"/>
        </w:rPr>
        <w:t>。</w:t>
      </w:r>
      <w:r>
        <w:rPr>
          <w:rFonts w:hint="default"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5</w:t>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snapToGrid w:val="0"/>
          <w:color w:val="auto"/>
          <w:sz w:val="32"/>
          <w:szCs w:val="32"/>
        </w:rPr>
        <w:t>获得授权发明专利3件</w:t>
      </w:r>
      <w:r>
        <w:rPr>
          <w:rFonts w:hint="eastAsia" w:ascii="Times New Roman" w:hAnsi="Times New Roman" w:eastAsia="仿宋_GB2312" w:cs="Times New Roman"/>
          <w:snapToGrid w:val="0"/>
          <w:color w:val="auto"/>
          <w:sz w:val="32"/>
          <w:szCs w:val="32"/>
          <w:lang w:val="en-US" w:eastAsia="zh-CN"/>
        </w:rPr>
        <w:t>及</w:t>
      </w:r>
      <w:r>
        <w:rPr>
          <w:rFonts w:hint="default" w:ascii="Times New Roman" w:hAnsi="Times New Roman" w:eastAsia="仿宋_GB2312" w:cs="Times New Roman"/>
          <w:snapToGrid w:val="0"/>
          <w:color w:val="auto"/>
          <w:sz w:val="32"/>
          <w:szCs w:val="32"/>
        </w:rPr>
        <w:t>以上。</w:t>
      </w:r>
    </w:p>
    <w:p w14:paraId="2932D5CD">
      <w:pPr>
        <w:keepNext w:val="0"/>
        <w:keepLines w:val="0"/>
        <w:pageBreakBefore w:val="0"/>
        <w:widowControl w:val="0"/>
        <w:kinsoku/>
        <w:overflowPunct/>
        <w:topLinePunct w:val="0"/>
        <w:autoSpaceDE/>
        <w:autoSpaceDN/>
        <w:bidi w:val="0"/>
        <w:spacing w:line="580"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3</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_GB2312"/>
          <w:b/>
          <w:bCs/>
          <w:sz w:val="32"/>
          <w:szCs w:val="32"/>
        </w:rPr>
        <w:t>实施期限：</w:t>
      </w:r>
      <w:r>
        <w:rPr>
          <w:rFonts w:ascii="Times New Roman" w:hAnsi="Times New Roman" w:eastAsia="仿宋_GB2312"/>
          <w:snapToGrid w:val="0"/>
          <w:sz w:val="32"/>
          <w:szCs w:val="32"/>
        </w:rPr>
        <w:t>3年。</w:t>
      </w:r>
    </w:p>
    <w:p w14:paraId="57CFA6BC">
      <w:pPr>
        <w:keepNext w:val="0"/>
        <w:keepLines w:val="0"/>
        <w:pageBreakBefore w:val="0"/>
        <w:widowControl w:val="0"/>
        <w:kinsoku/>
        <w:overflowPunct/>
        <w:topLinePunct w:val="0"/>
        <w:autoSpaceDE/>
        <w:autoSpaceDN/>
        <w:bidi w:val="0"/>
        <w:spacing w:line="580" w:lineRule="exact"/>
        <w:ind w:firstLine="643" w:firstLineChars="200"/>
        <w:rPr>
          <w:rFonts w:ascii="Times New Roman" w:hAnsi="Times New Roman" w:eastAsia="仿宋_GB2312"/>
          <w:sz w:val="32"/>
          <w:szCs w:val="32"/>
        </w:rPr>
      </w:pPr>
      <w:r>
        <w:rPr>
          <w:rFonts w:ascii="Times New Roman" w:hAnsi="Times New Roman" w:eastAsia="仿宋_GB2312"/>
          <w:b/>
          <w:bCs/>
          <w:sz w:val="32"/>
          <w:szCs w:val="32"/>
        </w:rPr>
        <w:t>4</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_GB2312"/>
          <w:b/>
          <w:bCs/>
          <w:sz w:val="32"/>
          <w:szCs w:val="32"/>
        </w:rPr>
        <w:t>资助经费</w:t>
      </w:r>
      <w:r>
        <w:rPr>
          <w:rFonts w:ascii="Times New Roman" w:hAnsi="Times New Roman" w:eastAsia="仿宋_GB2312"/>
          <w:sz w:val="32"/>
          <w:szCs w:val="32"/>
        </w:rPr>
        <w:t>：</w:t>
      </w:r>
      <w:r>
        <w:rPr>
          <w:rFonts w:ascii="Times New Roman" w:hAnsi="Times New Roman" w:eastAsia="仿宋_GB2312"/>
          <w:snapToGrid w:val="0"/>
          <w:sz w:val="32"/>
          <w:szCs w:val="32"/>
        </w:rPr>
        <w:t>不超过</w:t>
      </w:r>
      <w:r>
        <w:rPr>
          <w:rFonts w:hint="eastAsia" w:ascii="Times New Roman" w:hAnsi="Times New Roman" w:eastAsia="仿宋_GB2312"/>
          <w:snapToGrid w:val="0"/>
          <w:sz w:val="32"/>
          <w:szCs w:val="32"/>
        </w:rPr>
        <w:t>5</w:t>
      </w:r>
      <w:r>
        <w:rPr>
          <w:rFonts w:ascii="Times New Roman" w:hAnsi="Times New Roman" w:eastAsia="仿宋_GB2312"/>
          <w:sz w:val="32"/>
          <w:szCs w:val="32"/>
        </w:rPr>
        <w:t>00万元。</w:t>
      </w:r>
    </w:p>
    <w:p w14:paraId="70BFD014">
      <w:pPr>
        <w:keepNext w:val="0"/>
        <w:keepLines w:val="0"/>
        <w:pageBreakBefore w:val="0"/>
        <w:widowControl w:val="0"/>
        <w:kinsoku/>
        <w:overflowPunct/>
        <w:topLinePunct w:val="0"/>
        <w:autoSpaceDE/>
        <w:autoSpaceDN/>
        <w:bidi w:val="0"/>
        <w:spacing w:line="580" w:lineRule="exact"/>
        <w:ind w:firstLine="643" w:firstLineChars="200"/>
        <w:rPr>
          <w:rFonts w:ascii="Times New Roman" w:hAnsi="Times New Roman" w:eastAsia="仿宋_GB2312"/>
          <w:snapToGrid w:val="0"/>
          <w:sz w:val="32"/>
          <w:szCs w:val="32"/>
        </w:rPr>
      </w:pPr>
      <w:r>
        <w:rPr>
          <w:rFonts w:ascii="Times New Roman" w:hAnsi="Times New Roman" w:eastAsia="仿宋_GB2312"/>
          <w:b/>
          <w:bCs/>
          <w:sz w:val="32"/>
          <w:szCs w:val="32"/>
        </w:rPr>
        <w:t>5</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_GB2312"/>
          <w:b/>
          <w:bCs/>
          <w:sz w:val="32"/>
          <w:szCs w:val="32"/>
        </w:rPr>
        <w:t>相关说明：</w:t>
      </w:r>
      <w:r>
        <w:rPr>
          <w:rFonts w:ascii="Times New Roman" w:hAnsi="Times New Roman" w:eastAsia="仿宋_GB2312"/>
          <w:snapToGrid w:val="0"/>
          <w:sz w:val="32"/>
          <w:szCs w:val="32"/>
        </w:rPr>
        <w:t>公开择优。</w:t>
      </w:r>
    </w:p>
    <w:p w14:paraId="2255C095">
      <w:pPr>
        <w:pStyle w:val="2"/>
        <w:keepNext w:val="0"/>
        <w:keepLines w:val="0"/>
        <w:pageBreakBefore w:val="0"/>
        <w:widowControl w:val="0"/>
        <w:kinsoku/>
        <w:overflowPunct/>
        <w:topLinePunct w:val="0"/>
        <w:autoSpaceDE/>
        <w:autoSpaceDN/>
        <w:bidi w:val="0"/>
        <w:spacing w:line="580" w:lineRule="exact"/>
        <w:rPr>
          <w:rFonts w:hint="default" w:ascii="Times New Roman" w:hAnsi="Times New Roman" w:eastAsia="仿宋_GB2312" w:cs="Times New Roman"/>
          <w:color w:val="auto"/>
          <w:sz w:val="32"/>
          <w:szCs w:val="32"/>
        </w:rPr>
      </w:pPr>
    </w:p>
    <w:p w14:paraId="2B673FAB">
      <w:pPr>
        <w:pStyle w:val="6"/>
        <w:keepNext w:val="0"/>
        <w:keepLines w:val="0"/>
        <w:pageBreakBefore w:val="0"/>
        <w:widowControl w:val="0"/>
        <w:kinsoku/>
        <w:overflowPunct/>
        <w:topLinePunct w:val="0"/>
        <w:autoSpaceDE/>
        <w:autoSpaceDN/>
        <w:bidi w:val="0"/>
        <w:spacing w:before="0" w:after="0" w:line="580" w:lineRule="exact"/>
        <w:ind w:firstLine="643" w:firstLineChars="200"/>
        <w:rPr>
          <w:rFonts w:ascii="Times New Roman" w:hAnsi="Times New Roman" w:eastAsia="仿宋_GB2312"/>
          <w:b/>
          <w:color w:val="auto"/>
          <w:sz w:val="32"/>
          <w:szCs w:val="32"/>
        </w:rPr>
      </w:pPr>
      <w:r>
        <w:rPr>
          <w:rFonts w:ascii="Times New Roman" w:hAnsi="Times New Roman" w:eastAsia="仿宋_GB2312"/>
          <w:b/>
          <w:color w:val="auto"/>
          <w:sz w:val="32"/>
          <w:szCs w:val="32"/>
        </w:rPr>
        <w:t>方向</w:t>
      </w:r>
      <w:r>
        <w:rPr>
          <w:rFonts w:hint="eastAsia" w:ascii="Times New Roman" w:hAnsi="Times New Roman" w:eastAsia="仿宋_GB2312"/>
          <w:b/>
          <w:color w:val="auto"/>
          <w:sz w:val="32"/>
          <w:szCs w:val="32"/>
          <w:lang w:val="en-US" w:eastAsia="zh-CN"/>
        </w:rPr>
        <w:t>2</w:t>
      </w:r>
      <w:r>
        <w:rPr>
          <w:rFonts w:ascii="Times New Roman" w:hAnsi="Times New Roman" w:eastAsia="仿宋_GB2312"/>
          <w:b/>
          <w:color w:val="auto"/>
          <w:sz w:val="32"/>
          <w:szCs w:val="32"/>
        </w:rPr>
        <w:t>：</w:t>
      </w:r>
      <w:r>
        <w:rPr>
          <w:rFonts w:hint="eastAsia" w:ascii="Times New Roman" w:hAnsi="Times New Roman" w:eastAsia="仿宋_GB2312"/>
          <w:b/>
          <w:color w:val="auto"/>
          <w:sz w:val="32"/>
          <w:szCs w:val="32"/>
        </w:rPr>
        <w:t>新型海洋微生物菌剂的研发与产业化示范</w:t>
      </w:r>
    </w:p>
    <w:p w14:paraId="31AAAF0C">
      <w:pPr>
        <w:keepNext w:val="0"/>
        <w:keepLines w:val="0"/>
        <w:pageBreakBefore w:val="0"/>
        <w:widowControl w:val="0"/>
        <w:numPr>
          <w:ilvl w:val="0"/>
          <w:numId w:val="0"/>
        </w:numPr>
        <w:kinsoku/>
        <w:overflowPunct/>
        <w:topLinePunct w:val="0"/>
        <w:autoSpaceDE/>
        <w:autoSpaceDN/>
        <w:bidi w:val="0"/>
        <w:spacing w:after="0" w:line="580" w:lineRule="exact"/>
        <w:ind w:firstLine="643" w:firstLineChars="200"/>
        <w:rPr>
          <w:rFonts w:ascii="Times New Roman" w:hAnsi="Times New Roman" w:eastAsia="仿宋_GB2312"/>
          <w:snapToGrid w:val="0"/>
          <w:sz w:val="32"/>
          <w:szCs w:val="32"/>
        </w:rPr>
      </w:pPr>
      <w:r>
        <w:rPr>
          <w:rFonts w:ascii="Times New Roman" w:hAnsi="Times New Roman" w:eastAsia="仿宋_GB2312"/>
          <w:b/>
          <w:bCs/>
          <w:snapToGrid w:val="0"/>
          <w:kern w:val="2"/>
          <w:sz w:val="32"/>
          <w:szCs w:val="32"/>
          <w:lang w:val="en-US" w:eastAsia="zh-CN" w:bidi="ar-SA"/>
        </w:rPr>
        <w:t>1</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_GB2312"/>
          <w:b/>
          <w:bCs/>
          <w:snapToGrid w:val="0"/>
          <w:kern w:val="0"/>
          <w:sz w:val="32"/>
          <w:szCs w:val="32"/>
        </w:rPr>
        <w:t>研究内容：</w:t>
      </w:r>
      <w:r>
        <w:rPr>
          <w:rFonts w:ascii="Times New Roman" w:hAnsi="Times New Roman" w:eastAsia="仿宋_GB2312"/>
          <w:snapToGrid w:val="0"/>
          <w:sz w:val="32"/>
          <w:szCs w:val="32"/>
        </w:rPr>
        <w:t>（1）</w:t>
      </w:r>
      <w:r>
        <w:rPr>
          <w:rFonts w:hint="eastAsia" w:ascii="Times New Roman" w:hAnsi="Times New Roman" w:eastAsia="仿宋_GB2312"/>
          <w:strike w:val="0"/>
          <w:dstrike w:val="0"/>
          <w:snapToGrid w:val="0"/>
          <w:color w:val="auto"/>
          <w:sz w:val="32"/>
          <w:szCs w:val="32"/>
          <w:highlight w:val="none"/>
        </w:rPr>
        <w:t>以海洋渔业加工废弃物为主要发酵原料，通过海洋微生物菌株广泛筛选，获得防治广西重要农作物和果蔬土传病害的优良菌株</w:t>
      </w:r>
      <w:r>
        <w:rPr>
          <w:rFonts w:hint="eastAsia" w:ascii="Times New Roman" w:hAnsi="Times New Roman" w:eastAsia="仿宋_GB2312"/>
          <w:snapToGrid w:val="0"/>
          <w:color w:val="auto"/>
          <w:sz w:val="32"/>
          <w:szCs w:val="32"/>
          <w:highlight w:val="none"/>
        </w:rPr>
        <w:t>。</w:t>
      </w:r>
      <w:r>
        <w:rPr>
          <w:rFonts w:hint="eastAsia" w:ascii="Times New Roman" w:hAnsi="Times New Roman" w:eastAsia="仿宋_GB2312"/>
          <w:snapToGrid w:val="0"/>
          <w:sz w:val="32"/>
          <w:szCs w:val="32"/>
        </w:rPr>
        <w:t>（2）</w:t>
      </w:r>
      <w:r>
        <w:rPr>
          <w:rFonts w:ascii="Times New Roman" w:hAnsi="Times New Roman" w:eastAsia="仿宋_GB2312"/>
          <w:snapToGrid w:val="0"/>
          <w:sz w:val="32"/>
          <w:szCs w:val="32"/>
        </w:rPr>
        <w:t>利用大数据和人工智能算法优化出高效降解海洋渔业加工废弃物的核心微生物菌群，进一步开发出低成本及无污染的发酵工艺</w:t>
      </w:r>
      <w:r>
        <w:rPr>
          <w:rFonts w:hint="eastAsia" w:ascii="Times New Roman" w:hAnsi="Times New Roman" w:eastAsia="仿宋_GB2312"/>
          <w:snapToGrid w:val="0"/>
          <w:sz w:val="32"/>
          <w:szCs w:val="32"/>
        </w:rPr>
        <w:t>。（3）</w:t>
      </w:r>
      <w:r>
        <w:rPr>
          <w:rFonts w:ascii="Times New Roman" w:hAnsi="Times New Roman" w:eastAsia="仿宋_GB2312"/>
          <w:snapToGrid w:val="0"/>
          <w:sz w:val="32"/>
          <w:szCs w:val="32"/>
        </w:rPr>
        <w:t>创制具有降解、转化或固定土壤中的污染物，改善酸性土壤结构和提高土壤肥力的功能土壤修复生态制剂新产品。</w:t>
      </w:r>
      <w:r>
        <w:rPr>
          <w:rFonts w:hint="eastAsia" w:ascii="Times New Roman" w:hAnsi="Times New Roman" w:eastAsia="仿宋_GB2312"/>
          <w:snapToGrid w:val="0"/>
          <w:sz w:val="32"/>
          <w:szCs w:val="32"/>
        </w:rPr>
        <w:t>（4）</w:t>
      </w:r>
      <w:r>
        <w:rPr>
          <w:rFonts w:ascii="Times New Roman" w:hAnsi="Times New Roman" w:eastAsia="仿宋_GB2312"/>
          <w:snapToGrid w:val="0"/>
          <w:sz w:val="32"/>
          <w:szCs w:val="32"/>
        </w:rPr>
        <w:t>进行规模化生产和产业化示范，构建海洋渔业废弃物土壤修复系统。</w:t>
      </w:r>
    </w:p>
    <w:p w14:paraId="2511AA77">
      <w:pPr>
        <w:keepNext w:val="0"/>
        <w:keepLines w:val="0"/>
        <w:pageBreakBefore w:val="0"/>
        <w:widowControl w:val="0"/>
        <w:numPr>
          <w:ilvl w:val="0"/>
          <w:numId w:val="0"/>
        </w:numPr>
        <w:kinsoku/>
        <w:overflowPunct/>
        <w:topLinePunct w:val="0"/>
        <w:autoSpaceDE/>
        <w:autoSpaceDN/>
        <w:bidi w:val="0"/>
        <w:spacing w:after="0" w:line="580" w:lineRule="exact"/>
        <w:ind w:firstLine="643" w:firstLineChars="200"/>
        <w:rPr>
          <w:rFonts w:ascii="Times New Roman" w:hAnsi="Times New Roman" w:eastAsia="仿宋_GB2312"/>
          <w:snapToGrid w:val="0"/>
          <w:sz w:val="32"/>
          <w:szCs w:val="32"/>
        </w:rPr>
      </w:pPr>
      <w:r>
        <w:rPr>
          <w:rFonts w:ascii="Times New Roman" w:hAnsi="Times New Roman" w:eastAsia="仿宋_GB2312"/>
          <w:b/>
          <w:bCs/>
          <w:snapToGrid w:val="0"/>
          <w:kern w:val="2"/>
          <w:sz w:val="32"/>
          <w:szCs w:val="32"/>
          <w:lang w:val="en-US" w:eastAsia="zh-CN" w:bidi="ar-SA"/>
        </w:rPr>
        <w:t>2</w:t>
      </w:r>
      <w:r>
        <w:rPr>
          <w:rFonts w:hint="default" w:ascii="Times New Roman" w:hAnsi="Times New Roman" w:eastAsia="仿宋_GB2312" w:cs="Times New Roman"/>
          <w:b/>
          <w:bCs/>
          <w:snapToGrid w:val="0"/>
          <w:color w:val="auto"/>
          <w:sz w:val="32"/>
          <w:szCs w:val="32"/>
          <w:highlight w:val="none"/>
        </w:rPr>
        <w:t>．</w:t>
      </w:r>
      <w:r>
        <w:rPr>
          <w:rFonts w:ascii="Times New Roman" w:hAnsi="Times New Roman" w:eastAsia="仿宋_GB2312"/>
          <w:b/>
          <w:bCs/>
          <w:snapToGrid w:val="0"/>
          <w:kern w:val="0"/>
          <w:sz w:val="32"/>
          <w:szCs w:val="32"/>
        </w:rPr>
        <w:t>考核指标：</w:t>
      </w:r>
      <w:r>
        <w:rPr>
          <w:rFonts w:ascii="Times New Roman" w:hAnsi="Times New Roman" w:eastAsia="仿宋_GB2312"/>
          <w:snapToGrid w:val="0"/>
          <w:sz w:val="32"/>
          <w:szCs w:val="32"/>
        </w:rPr>
        <w:t>（1）针对广西主要土壤和作物类型，获取高效修复菌株10株以上，构建高效菌株的规模化稳定发酵工艺流程3套以上</w:t>
      </w:r>
      <w:r>
        <w:rPr>
          <w:rFonts w:hint="eastAsia" w:ascii="Times New Roman" w:hAnsi="Times New Roman" w:eastAsia="仿宋_GB2312"/>
          <w:snapToGrid w:val="0"/>
          <w:sz w:val="32"/>
          <w:szCs w:val="32"/>
        </w:rPr>
        <w:t>。（2）</w:t>
      </w:r>
      <w:r>
        <w:rPr>
          <w:rFonts w:ascii="Times New Roman" w:hAnsi="Times New Roman" w:eastAsia="仿宋_GB2312"/>
          <w:snapToGrid w:val="0"/>
          <w:sz w:val="32"/>
          <w:szCs w:val="32"/>
        </w:rPr>
        <w:t>创建以海洋废弃物为基础原料，高效微生物及其代谢产物为有效成分的土壤修复微生态制剂生产工艺流程3套以上，形成3套以上酸性土壤修复技术规程</w:t>
      </w:r>
      <w:r>
        <w:rPr>
          <w:rFonts w:hint="eastAsia" w:ascii="Times New Roman" w:hAnsi="Times New Roman" w:eastAsia="仿宋_GB2312"/>
          <w:snapToGrid w:val="0"/>
          <w:sz w:val="32"/>
          <w:szCs w:val="32"/>
        </w:rPr>
        <w:t>。（3）</w:t>
      </w:r>
      <w:r>
        <w:rPr>
          <w:rFonts w:ascii="Times New Roman" w:hAnsi="Times New Roman" w:eastAsia="仿宋_GB2312"/>
          <w:snapToGrid w:val="0"/>
          <w:sz w:val="32"/>
          <w:szCs w:val="32"/>
        </w:rPr>
        <w:t>建立10个50亩以上的示范点，编制发布地方标准/行业标准/团体标准3项</w:t>
      </w:r>
      <w:r>
        <w:rPr>
          <w:rFonts w:hint="eastAsia" w:ascii="Times New Roman" w:hAnsi="Times New Roman" w:eastAsia="仿宋_GB2312"/>
          <w:snapToGrid w:val="0"/>
          <w:sz w:val="32"/>
          <w:szCs w:val="32"/>
          <w:lang w:val="en-US" w:eastAsia="zh-CN"/>
        </w:rPr>
        <w:t>及以上</w:t>
      </w:r>
      <w:r>
        <w:rPr>
          <w:rFonts w:ascii="Times New Roman" w:hAnsi="Times New Roman" w:eastAsia="仿宋_GB2312"/>
          <w:snapToGrid w:val="0"/>
          <w:sz w:val="32"/>
          <w:szCs w:val="32"/>
        </w:rPr>
        <w:t>，授权</w:t>
      </w:r>
      <w:r>
        <w:rPr>
          <w:rFonts w:hint="eastAsia" w:ascii="Times New Roman" w:hAnsi="Times New Roman" w:eastAsia="仿宋_GB2312"/>
          <w:snapToGrid w:val="0"/>
          <w:sz w:val="32"/>
          <w:szCs w:val="32"/>
        </w:rPr>
        <w:t>发明</w:t>
      </w:r>
      <w:r>
        <w:rPr>
          <w:rFonts w:ascii="Times New Roman" w:hAnsi="Times New Roman" w:eastAsia="仿宋_GB2312"/>
          <w:snapToGrid w:val="0"/>
          <w:sz w:val="32"/>
          <w:szCs w:val="32"/>
        </w:rPr>
        <w:t>专利6件</w:t>
      </w:r>
      <w:r>
        <w:rPr>
          <w:rFonts w:hint="eastAsia" w:ascii="Times New Roman" w:hAnsi="Times New Roman" w:eastAsia="仿宋_GB2312"/>
          <w:snapToGrid w:val="0"/>
          <w:sz w:val="32"/>
          <w:szCs w:val="32"/>
          <w:lang w:val="en-US" w:eastAsia="zh-CN"/>
        </w:rPr>
        <w:t>及以上</w:t>
      </w:r>
      <w:r>
        <w:rPr>
          <w:rFonts w:ascii="Times New Roman" w:hAnsi="Times New Roman" w:eastAsia="仿宋_GB2312"/>
          <w:snapToGrid w:val="0"/>
          <w:sz w:val="32"/>
          <w:szCs w:val="32"/>
        </w:rPr>
        <w:t>。</w:t>
      </w:r>
      <w:r>
        <w:rPr>
          <w:rFonts w:hint="eastAsia" w:ascii="Times New Roman" w:hAnsi="Times New Roman" w:eastAsia="仿宋_GB2312"/>
          <w:snapToGrid w:val="0"/>
          <w:sz w:val="32"/>
          <w:szCs w:val="32"/>
        </w:rPr>
        <w:t>（4）</w:t>
      </w:r>
      <w:r>
        <w:rPr>
          <w:rFonts w:ascii="Times New Roman" w:hAnsi="Times New Roman" w:eastAsia="仿宋_GB2312"/>
          <w:snapToGrid w:val="0"/>
          <w:sz w:val="32"/>
          <w:szCs w:val="32"/>
        </w:rPr>
        <w:t>项目实施期内，实现产值</w:t>
      </w:r>
      <w:r>
        <w:rPr>
          <w:rFonts w:hint="eastAsia" w:ascii="Times New Roman" w:hAnsi="Times New Roman" w:eastAsia="仿宋_GB2312"/>
          <w:snapToGrid w:val="0"/>
          <w:sz w:val="32"/>
          <w:szCs w:val="32"/>
        </w:rPr>
        <w:t>0.5亿</w:t>
      </w:r>
      <w:r>
        <w:rPr>
          <w:rFonts w:ascii="Times New Roman" w:hAnsi="Times New Roman" w:eastAsia="仿宋_GB2312"/>
          <w:snapToGrid w:val="0"/>
          <w:sz w:val="32"/>
          <w:szCs w:val="32"/>
        </w:rPr>
        <w:t>元及以上，新增利税500万元及以上。</w:t>
      </w:r>
    </w:p>
    <w:p w14:paraId="79BBCAD4">
      <w:pPr>
        <w:pStyle w:val="2"/>
        <w:keepNext w:val="0"/>
        <w:keepLines w:val="0"/>
        <w:pageBreakBefore w:val="0"/>
        <w:widowControl w:val="0"/>
        <w:kinsoku/>
        <w:overflowPunct/>
        <w:topLinePunct w:val="0"/>
        <w:autoSpaceDE/>
        <w:autoSpaceDN/>
        <w:bidi w:val="0"/>
        <w:adjustRightInd/>
        <w:spacing w:line="580" w:lineRule="exact"/>
        <w:ind w:firstLine="643" w:firstLineChars="200"/>
        <w:textAlignment w:val="auto"/>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rPr>
        <w:t>3</w:t>
      </w:r>
      <w:r>
        <w:rPr>
          <w:rFonts w:hint="default" w:ascii="Times New Roman" w:hAnsi="Times New Roman" w:eastAsia="仿宋_GB2312" w:cs="Times New Roman"/>
          <w:b/>
          <w:bCs/>
          <w:snapToGrid w:val="0"/>
          <w:color w:val="auto"/>
          <w:sz w:val="32"/>
          <w:szCs w:val="32"/>
          <w:highlight w:val="none"/>
        </w:rPr>
        <w:t>．</w:t>
      </w:r>
      <w:r>
        <w:rPr>
          <w:rFonts w:hint="default" w:ascii="Times New Roman" w:hAnsi="Times New Roman" w:eastAsia="仿宋_GB2312" w:cs="Times New Roman"/>
          <w:b/>
          <w:bCs/>
          <w:color w:val="auto"/>
          <w:sz w:val="32"/>
          <w:szCs w:val="32"/>
        </w:rPr>
        <w:t>实施期限：</w:t>
      </w:r>
      <w:r>
        <w:rPr>
          <w:rFonts w:hint="default" w:ascii="Times New Roman" w:hAnsi="Times New Roman" w:eastAsia="仿宋_GB2312" w:cs="Times New Roman"/>
          <w:color w:val="auto"/>
          <w:sz w:val="32"/>
          <w:szCs w:val="32"/>
        </w:rPr>
        <w:t>3年。</w:t>
      </w:r>
    </w:p>
    <w:p w14:paraId="1FB8A060">
      <w:pPr>
        <w:pStyle w:val="2"/>
        <w:keepNext w:val="0"/>
        <w:keepLines w:val="0"/>
        <w:pageBreakBefore w:val="0"/>
        <w:widowControl w:val="0"/>
        <w:kinsoku/>
        <w:overflowPunct/>
        <w:topLinePunct w:val="0"/>
        <w:autoSpaceDE/>
        <w:autoSpaceDN/>
        <w:bidi w:val="0"/>
        <w:adjustRightInd/>
        <w:spacing w:line="580" w:lineRule="exact"/>
        <w:ind w:firstLine="643" w:firstLineChars="200"/>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b/>
          <w:bCs/>
          <w:color w:val="auto"/>
          <w:sz w:val="32"/>
          <w:szCs w:val="32"/>
        </w:rPr>
        <w:t>4</w:t>
      </w:r>
      <w:r>
        <w:rPr>
          <w:rFonts w:hint="default" w:ascii="Times New Roman" w:hAnsi="Times New Roman" w:eastAsia="仿宋_GB2312" w:cs="Times New Roman"/>
          <w:b/>
          <w:bCs/>
          <w:snapToGrid w:val="0"/>
          <w:color w:val="auto"/>
          <w:sz w:val="32"/>
          <w:szCs w:val="32"/>
          <w:highlight w:val="none"/>
        </w:rPr>
        <w:t>．</w:t>
      </w:r>
      <w:r>
        <w:rPr>
          <w:rFonts w:hint="default" w:ascii="Times New Roman" w:hAnsi="Times New Roman" w:eastAsia="仿宋_GB2312" w:cs="Times New Roman"/>
          <w:b/>
          <w:bCs/>
          <w:color w:val="auto"/>
          <w:sz w:val="32"/>
          <w:szCs w:val="32"/>
        </w:rPr>
        <w:t>资助经费：</w:t>
      </w:r>
      <w:r>
        <w:rPr>
          <w:rFonts w:hint="default" w:ascii="Times New Roman" w:hAnsi="Times New Roman" w:eastAsia="仿宋_GB2312" w:cs="Times New Roman"/>
          <w:snapToGrid w:val="0"/>
          <w:color w:val="auto"/>
          <w:sz w:val="32"/>
          <w:szCs w:val="32"/>
        </w:rPr>
        <w:t>不超过</w:t>
      </w:r>
      <w:r>
        <w:rPr>
          <w:rFonts w:ascii="Times New Roman" w:hAnsi="Times New Roman" w:eastAsia="仿宋_GB2312" w:cs="Times New Roman"/>
          <w:snapToGrid w:val="0"/>
          <w:color w:val="auto"/>
          <w:sz w:val="32"/>
          <w:szCs w:val="32"/>
        </w:rPr>
        <w:t>6</w:t>
      </w:r>
      <w:r>
        <w:rPr>
          <w:rFonts w:hint="default" w:ascii="Times New Roman" w:hAnsi="Times New Roman" w:eastAsia="仿宋_GB2312" w:cs="Times New Roman"/>
          <w:snapToGrid w:val="0"/>
          <w:color w:val="auto"/>
          <w:sz w:val="32"/>
          <w:szCs w:val="32"/>
        </w:rPr>
        <w:t>00</w:t>
      </w:r>
      <w:r>
        <w:rPr>
          <w:rFonts w:hint="default" w:ascii="Times New Roman" w:hAnsi="Times New Roman" w:eastAsia="仿宋_GB2312" w:cs="Times New Roman"/>
          <w:color w:val="auto"/>
          <w:sz w:val="32"/>
          <w:szCs w:val="32"/>
        </w:rPr>
        <w:t>万元。</w:t>
      </w:r>
    </w:p>
    <w:p w14:paraId="620B85D1">
      <w:pPr>
        <w:pStyle w:val="2"/>
        <w:keepNext w:val="0"/>
        <w:keepLines w:val="0"/>
        <w:pageBreakBefore w:val="0"/>
        <w:widowControl w:val="0"/>
        <w:kinsoku/>
        <w:overflowPunct/>
        <w:topLinePunct w:val="0"/>
        <w:autoSpaceDE/>
        <w:autoSpaceDN/>
        <w:bidi w:val="0"/>
        <w:adjustRightInd/>
        <w:spacing w:line="580" w:lineRule="exact"/>
        <w:ind w:firstLine="640" w:firstLineChars="0"/>
        <w:textAlignment w:val="auto"/>
      </w:pPr>
      <w:r>
        <w:rPr>
          <w:rFonts w:hint="default" w:ascii="Times New Roman" w:hAnsi="Times New Roman" w:eastAsia="仿宋_GB2312" w:cs="Times New Roman"/>
          <w:b/>
          <w:bCs/>
          <w:color w:val="auto"/>
          <w:sz w:val="32"/>
          <w:szCs w:val="32"/>
        </w:rPr>
        <w:t>5</w:t>
      </w:r>
      <w:r>
        <w:rPr>
          <w:rFonts w:hint="default" w:ascii="Times New Roman" w:hAnsi="Times New Roman" w:eastAsia="仿宋_GB2312" w:cs="Times New Roman"/>
          <w:b/>
          <w:bCs/>
          <w:snapToGrid w:val="0"/>
          <w:color w:val="auto"/>
          <w:sz w:val="32"/>
          <w:szCs w:val="32"/>
          <w:highlight w:val="none"/>
        </w:rPr>
        <w:t>．</w:t>
      </w:r>
      <w:r>
        <w:rPr>
          <w:rFonts w:hint="default" w:ascii="Times New Roman" w:hAnsi="Times New Roman" w:eastAsia="仿宋_GB2312" w:cs="Times New Roman"/>
          <w:b/>
          <w:bCs/>
          <w:color w:val="auto"/>
          <w:sz w:val="32"/>
          <w:szCs w:val="32"/>
        </w:rPr>
        <w:t>相关说明：</w:t>
      </w:r>
      <w:r>
        <w:rPr>
          <w:rFonts w:hint="default" w:ascii="Times New Roman" w:hAnsi="Times New Roman" w:eastAsia="仿宋_GB2312" w:cs="Times New Roman"/>
          <w:color w:val="auto"/>
          <w:sz w:val="32"/>
          <w:szCs w:val="32"/>
        </w:rPr>
        <w:t>公开择优。</w:t>
      </w:r>
    </w:p>
    <w:p w14:paraId="3FBF5014">
      <w:pPr>
        <w:keepNext w:val="0"/>
        <w:keepLines w:val="0"/>
        <w:pageBreakBefore w:val="0"/>
        <w:widowControl w:val="0"/>
        <w:kinsoku/>
        <w:wordWrap/>
        <w:overflowPunct/>
        <w:topLinePunct w:val="0"/>
        <w:autoSpaceDE/>
        <w:autoSpaceDN/>
        <w:bidi w:val="0"/>
        <w:adjustRightInd/>
        <w:snapToGrid/>
        <w:spacing w:beforeAutospacing="0" w:afterAutospacing="0" w:line="580" w:lineRule="exact"/>
        <w:ind w:left="0" w:leftChars="0" w:right="0" w:rightChars="0" w:firstLine="420" w:firstLineChars="200"/>
        <w:jc w:val="both"/>
        <w:textAlignment w:val="auto"/>
        <w:outlineLvl w:val="9"/>
      </w:pPr>
    </w:p>
    <w:p w14:paraId="46A7342A">
      <w:pPr>
        <w:pStyle w:val="4"/>
        <w:ind w:left="0" w:leftChars="0" w:firstLine="0" w:firstLineChars="0"/>
      </w:pPr>
    </w:p>
    <w:sectPr>
      <w:footerReference r:id="rId5" w:type="first"/>
      <w:headerReference r:id="rId3" w:type="default"/>
      <w:footerReference r:id="rId4" w:type="default"/>
      <w:pgSz w:w="11906" w:h="16838"/>
      <w:pgMar w:top="2098" w:right="1531" w:bottom="1701" w:left="1531" w:header="851" w:footer="1417" w:gutter="0"/>
      <w:paperSrc/>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Light">
    <w:panose1 w:val="02010600030101010101"/>
    <w:charset w:val="86"/>
    <w:family w:val="auto"/>
    <w:pitch w:val="default"/>
    <w:sig w:usb0="A00002BF" w:usb1="38CF7CFA" w:usb2="00000016" w:usb3="00000000" w:csb0="0004000F" w:csb1="00000000"/>
  </w:font>
  <w:font w:name="Courier New">
    <w:panose1 w:val="02070309020205020404"/>
    <w:charset w:val="00"/>
    <w:family w:val="modern"/>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ˎ̥">
    <w:altName w:val="宋体"/>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K">
    <w:altName w:val="微软雅黑"/>
    <w:panose1 w:val="03000509000000000000"/>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2312">
    <w:altName w:val="仿宋"/>
    <w:panose1 w:val="02000000000000000000"/>
    <w:charset w:val="00"/>
    <w:family w:val="auto"/>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EA5E5D">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61E1141">
                          <w:pPr>
                            <w:pStyle w:val="11"/>
                            <w:rPr>
                              <w:rFonts w:hint="eastAsia" w:ascii="宋体" w:hAnsi="宋体" w:eastAsia="宋体" w:cs="宋体"/>
                              <w:sz w:val="28"/>
                              <w:szCs w:val="28"/>
                            </w:rPr>
                          </w:pPr>
                          <w:r>
                            <w:rPr>
                              <w:rFonts w:hint="eastAsia" w:ascii="宋体" w:hAnsi="宋体" w:cs="宋体"/>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eastAsia" w:ascii="宋体" w:hAnsi="宋体" w:cs="宋体"/>
                              <w:sz w:val="28"/>
                              <w:szCs w:val="28"/>
                            </w:rPr>
                            <w:t xml:space="preserve"> —</w:t>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361E1141">
                    <w:pPr>
                      <w:pStyle w:val="11"/>
                      <w:rPr>
                        <w:rFonts w:hint="eastAsia" w:ascii="宋体" w:hAnsi="宋体" w:eastAsia="宋体" w:cs="宋体"/>
                        <w:sz w:val="28"/>
                        <w:szCs w:val="28"/>
                      </w:rPr>
                    </w:pPr>
                    <w:r>
                      <w:rPr>
                        <w:rFonts w:hint="eastAsia" w:ascii="宋体" w:hAnsi="宋体" w:cs="宋体"/>
                        <w:sz w:val="28"/>
                        <w:szCs w:val="28"/>
                      </w:rPr>
                      <w:t xml:space="preserve">— </w:t>
                    </w:r>
                    <w:r>
                      <w:rPr>
                        <w:rFonts w:hint="default" w:ascii="Times New Roman" w:hAnsi="Times New Roman" w:cs="Times New Roman"/>
                        <w:sz w:val="28"/>
                        <w:szCs w:val="28"/>
                      </w:rPr>
                      <w:fldChar w:fldCharType="begin"/>
                    </w:r>
                    <w:r>
                      <w:rPr>
                        <w:rFonts w:hint="default" w:ascii="Times New Roman" w:hAnsi="Times New Roman" w:cs="Times New Roman"/>
                        <w:sz w:val="28"/>
                        <w:szCs w:val="28"/>
                      </w:rPr>
                      <w:instrText xml:space="preserve"> PAGE  \* MERGEFORMAT </w:instrText>
                    </w:r>
                    <w:r>
                      <w:rPr>
                        <w:rFonts w:hint="default" w:ascii="Times New Roman" w:hAnsi="Times New Roman" w:cs="Times New Roman"/>
                        <w:sz w:val="28"/>
                        <w:szCs w:val="28"/>
                      </w:rPr>
                      <w:fldChar w:fldCharType="separate"/>
                    </w:r>
                    <w:r>
                      <w:rPr>
                        <w:rFonts w:hint="default" w:ascii="Times New Roman" w:hAnsi="Times New Roman" w:cs="Times New Roman"/>
                        <w:sz w:val="28"/>
                        <w:szCs w:val="28"/>
                      </w:rPr>
                      <w:t>2</w:t>
                    </w:r>
                    <w:r>
                      <w:rPr>
                        <w:rFonts w:hint="default" w:ascii="Times New Roman" w:hAnsi="Times New Roman" w:cs="Times New Roman"/>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8ACAA">
    <w:pPr>
      <w:pStyle w:val="11"/>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203BF5F">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wps:txbx>
                    <wps:bodyPr wrap="none" lIns="0" tIns="0" rIns="0" bIns="0" upright="0">
                      <a:spAutoFit/>
                    </wps:bodyPr>
                  </wps:wsp>
                </a:graphicData>
              </a:graphic>
            </wp:anchor>
          </w:drawing>
        </mc:Choice>
        <mc:Fallback>
          <w:pict>
            <v:shape id="文本框 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J7PNl7LAQAAnAMAAA4AAAAAAAAAAQAgAAAAHgEAAGRycy9lMm9E&#10;b2MueG1sUEsFBgAAAAAGAAYAWQEAAFsFAAAAAA==&#10;">
              <v:fill on="f" focussize="0,0"/>
              <v:stroke on="f"/>
              <v:imagedata o:title=""/>
              <o:lock v:ext="edit" aspectratio="f"/>
              <v:textbox inset="0mm,0mm,0mm,0mm" style="mso-fit-shape-to-text:t;">
                <w:txbxContent>
                  <w:p w14:paraId="5203BF5F">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PAGE  \* MERGEFORMAT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t>1</w:t>
                    </w:r>
                    <w:r>
                      <w:rPr>
                        <w:rFonts w:hint="default" w:ascii="Times New Roman" w:hAnsi="Times New Roman" w:eastAsia="宋体" w:cs="Times New Roman"/>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751D6">
    <w:r>
      <mc:AlternateContent>
        <mc:Choice Requires="wps">
          <w:drawing>
            <wp:anchor distT="0" distB="0" distL="114300" distR="114300" simplePos="0" relativeHeight="251660288" behindDoc="0" locked="0" layoutInCell="1" allowOverlap="1">
              <wp:simplePos x="0" y="0"/>
              <wp:positionH relativeFrom="page">
                <wp:posOffset>0</wp:posOffset>
              </wp:positionH>
              <wp:positionV relativeFrom="page">
                <wp:posOffset>0</wp:posOffset>
              </wp:positionV>
              <wp:extent cx="635" cy="0"/>
              <wp:effectExtent l="0" t="0" r="0" b="0"/>
              <wp:wrapNone/>
              <wp:docPr id="2" name="ImpTraceLabel"/>
              <wp:cNvGraphicFramePr/>
              <a:graphic xmlns:a="http://schemas.openxmlformats.org/drawingml/2006/main">
                <a:graphicData uri="http://schemas.microsoft.com/office/word/2010/wordprocessingShape">
                  <wps:wsp>
                    <wps:cNvSpPr txBox="1"/>
                    <wps:spPr>
                      <a:xfrm>
                        <a:off x="0" y="0"/>
                        <a:ext cx="635" cy="0"/>
                      </a:xfrm>
                      <a:prstGeom prst="rect">
                        <a:avLst/>
                      </a:prstGeom>
                      <a:noFill/>
                      <a:ln>
                        <a:noFill/>
                      </a:ln>
                      <a:effectLst/>
                    </wps:spPr>
                    <wps:txbx>
                      <w:txbxContent>
                        <w:p w14:paraId="7646B244">
                          <w:r>
                            <w:t>&lt;root&gt;&lt;sender&gt;bangs@kjt.gxzf.gov.cn&lt;/sender&gt;&lt;type&gt;2&lt;/type&gt;&lt;subject&gt;请挂网和八桂科创—桂科计字〔2023〕37号&lt;/subject&gt;&lt;attachmentName&gt;桂科计字〔2023〕37号自治区科技厅关于发布科技支撑面向东盟科技创新合作区建设项目申报指南的通知.wps&lt;/attachmentName&gt;&lt;addressee&gt;xxgk@kjt.gxzf.gov.cn&lt;/addressee&gt;&lt;mailSec&gt;无密级&lt;/mailSec&gt;&lt;sendTime&gt;2023-06-13 15:23:18&lt;/sendTime&gt;&lt;loadTime&gt;2023-06-13 15:34:42&lt;/loadTime&gt;&lt;/root&gt;</w:t>
                          </w:r>
                        </w:p>
                      </w:txbxContent>
                    </wps:txbx>
                    <wps:bodyPr wrap="square" upright="1"/>
                  </wps:wsp>
                </a:graphicData>
              </a:graphic>
            </wp:anchor>
          </w:drawing>
        </mc:Choice>
        <mc:Fallback>
          <w:pict>
            <v:shape id="ImpTraceLabel" o:spid="_x0000_s1026" o:spt="202" type="#_x0000_t202" style="position:absolute;left:0pt;margin-left:0pt;margin-top:0pt;height:0pt;width:0.05pt;mso-position-horizontal-relative:page;mso-position-vertical-relative:page;z-index:251660288;mso-width-relative:page;mso-height-relative:page;" filled="f" stroked="f" coordsize="21600,21600" o:gfxdata="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">
              <v:fill on="f" focussize="0,0"/>
              <v:stroke on="f"/>
              <v:imagedata o:title=""/>
              <o:lock v:ext="edit" aspectratio="f"/>
              <v:textbox>
                <w:txbxContent>
                  <w:p w14:paraId="7646B244">
                    <w:r>
                      <w:t>&lt;root&gt;&lt;sender&gt;bangs@kjt.gxzf.gov.cn&lt;/sender&gt;&lt;type&gt;2&lt;/type&gt;&lt;subject&gt;请挂网和八桂科创—桂科计字〔2023〕37号&lt;/subject&gt;&lt;attachmentName&gt;桂科计字〔2023〕37号自治区科技厅关于发布科技支撑面向东盟科技创新合作区建设项目申报指南的通知.wps&lt;/attachmentName&gt;&lt;addressee&gt;xxgk@kjt.gxzf.gov.cn&lt;/addressee&gt;&lt;mailSec&gt;无密级&lt;/mailSec&gt;&lt;sendTime&gt;2023-06-13 15:23:18&lt;/sendTime&gt;&lt;loadTime&gt;2023-06-13 15:34:42&lt;/loadTime&gt;&lt;/root&gt;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5E5E73"/>
    <w:rsid w:val="155768FC"/>
    <w:rsid w:val="1FDB5366"/>
    <w:rsid w:val="227F6E44"/>
    <w:rsid w:val="27F0F010"/>
    <w:rsid w:val="2EFE1BEF"/>
    <w:rsid w:val="2FDDFEDC"/>
    <w:rsid w:val="331FA30B"/>
    <w:rsid w:val="3BED4670"/>
    <w:rsid w:val="3EAB0813"/>
    <w:rsid w:val="3EEBEC1C"/>
    <w:rsid w:val="3F7F0BA0"/>
    <w:rsid w:val="3F7F3CA4"/>
    <w:rsid w:val="3FE26F8B"/>
    <w:rsid w:val="3FFE1E8E"/>
    <w:rsid w:val="4491316E"/>
    <w:rsid w:val="4D965BCC"/>
    <w:rsid w:val="52E85075"/>
    <w:rsid w:val="57BB1219"/>
    <w:rsid w:val="57D47982"/>
    <w:rsid w:val="5ABF6B0C"/>
    <w:rsid w:val="5BEFA559"/>
    <w:rsid w:val="5DF2FFCA"/>
    <w:rsid w:val="5DF7AB6A"/>
    <w:rsid w:val="5F7B380D"/>
    <w:rsid w:val="5F9F160D"/>
    <w:rsid w:val="5FBA32B9"/>
    <w:rsid w:val="677E36B3"/>
    <w:rsid w:val="67BF6C68"/>
    <w:rsid w:val="6DBBFE52"/>
    <w:rsid w:val="6DFBDA2C"/>
    <w:rsid w:val="6FFE85C6"/>
    <w:rsid w:val="6FFFB7BB"/>
    <w:rsid w:val="72356D5D"/>
    <w:rsid w:val="73FD6A7E"/>
    <w:rsid w:val="75AE4154"/>
    <w:rsid w:val="76799D4D"/>
    <w:rsid w:val="76DF840C"/>
    <w:rsid w:val="76FF6D2E"/>
    <w:rsid w:val="7733AB0D"/>
    <w:rsid w:val="777D3A30"/>
    <w:rsid w:val="77E941F7"/>
    <w:rsid w:val="77F7A57B"/>
    <w:rsid w:val="77FD3122"/>
    <w:rsid w:val="7ACF4E20"/>
    <w:rsid w:val="7AF7A79D"/>
    <w:rsid w:val="7B763958"/>
    <w:rsid w:val="7B7CE049"/>
    <w:rsid w:val="7BF180CA"/>
    <w:rsid w:val="7BFFD3EF"/>
    <w:rsid w:val="7D7A400F"/>
    <w:rsid w:val="7DCFD5CB"/>
    <w:rsid w:val="7DDE7649"/>
    <w:rsid w:val="7E0FA47E"/>
    <w:rsid w:val="7E9D60AE"/>
    <w:rsid w:val="7F0F76A9"/>
    <w:rsid w:val="7F6F646D"/>
    <w:rsid w:val="7F767B3A"/>
    <w:rsid w:val="7F7E1917"/>
    <w:rsid w:val="7F9FF163"/>
    <w:rsid w:val="7FBE1092"/>
    <w:rsid w:val="7FBE93C6"/>
    <w:rsid w:val="7FDB45BB"/>
    <w:rsid w:val="7FDB5952"/>
    <w:rsid w:val="7FEB2D1A"/>
    <w:rsid w:val="7FED6943"/>
    <w:rsid w:val="7FEF88F3"/>
    <w:rsid w:val="7FFF51EE"/>
    <w:rsid w:val="7FFF7CA4"/>
    <w:rsid w:val="95EB7A4A"/>
    <w:rsid w:val="96F5193F"/>
    <w:rsid w:val="97FE374D"/>
    <w:rsid w:val="9BDF747A"/>
    <w:rsid w:val="A7BFAB08"/>
    <w:rsid w:val="AEE7C9E7"/>
    <w:rsid w:val="AF7E6960"/>
    <w:rsid w:val="B2BF95FA"/>
    <w:rsid w:val="B5D0E07F"/>
    <w:rsid w:val="B6FF6CDF"/>
    <w:rsid w:val="B7FF22AA"/>
    <w:rsid w:val="B9BFE6BF"/>
    <w:rsid w:val="B9D6F7D9"/>
    <w:rsid w:val="BB4D0D47"/>
    <w:rsid w:val="BCE5E7A2"/>
    <w:rsid w:val="BD6B9A9A"/>
    <w:rsid w:val="BD7E6F33"/>
    <w:rsid w:val="BEFFE793"/>
    <w:rsid w:val="C8FEAA43"/>
    <w:rsid w:val="CFB0F9CD"/>
    <w:rsid w:val="CFED47F8"/>
    <w:rsid w:val="D4BF769F"/>
    <w:rsid w:val="D5D5522E"/>
    <w:rsid w:val="D97F1D71"/>
    <w:rsid w:val="DBAF120A"/>
    <w:rsid w:val="DBFF87E1"/>
    <w:rsid w:val="DDFBF66E"/>
    <w:rsid w:val="DEFF3507"/>
    <w:rsid w:val="DEFFA7F5"/>
    <w:rsid w:val="DFFC3CE3"/>
    <w:rsid w:val="E5FD8494"/>
    <w:rsid w:val="E6F3EECE"/>
    <w:rsid w:val="EB5F9AB9"/>
    <w:rsid w:val="EBF012F3"/>
    <w:rsid w:val="EDB78980"/>
    <w:rsid w:val="EF77CB83"/>
    <w:rsid w:val="EFDFA8DB"/>
    <w:rsid w:val="EFE7B24A"/>
    <w:rsid w:val="EFF949AD"/>
    <w:rsid w:val="F14C57F6"/>
    <w:rsid w:val="F3BC7C8C"/>
    <w:rsid w:val="F40F85DD"/>
    <w:rsid w:val="F4F050FF"/>
    <w:rsid w:val="F5F59C24"/>
    <w:rsid w:val="F674FD1B"/>
    <w:rsid w:val="F6BEF0C0"/>
    <w:rsid w:val="F6EF04E9"/>
    <w:rsid w:val="F7E3C33D"/>
    <w:rsid w:val="F7EF2CC3"/>
    <w:rsid w:val="FBF282B0"/>
    <w:rsid w:val="FD5F1049"/>
    <w:rsid w:val="FDEBE5F1"/>
    <w:rsid w:val="FDEDD02A"/>
    <w:rsid w:val="FDFF6476"/>
    <w:rsid w:val="FEBF77AE"/>
    <w:rsid w:val="FEEB3DA1"/>
    <w:rsid w:val="FF9F2BF3"/>
    <w:rsid w:val="FFD747D0"/>
    <w:rsid w:val="FFDD0561"/>
    <w:rsid w:val="FFE2B457"/>
    <w:rsid w:val="FFFB61A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20"/>
    <w:qFormat/>
    <w:uiPriority w:val="0"/>
    <w:pPr>
      <w:keepNext/>
      <w:keepLines/>
      <w:spacing w:before="340" w:after="330" w:line="576" w:lineRule="auto"/>
      <w:outlineLvl w:val="0"/>
    </w:pPr>
    <w:rPr>
      <w:rFonts w:ascii="Calibri" w:hAnsi="Calibri" w:eastAsia="宋体"/>
      <w:b/>
      <w:kern w:val="44"/>
      <w:sz w:val="44"/>
      <w:szCs w:val="22"/>
    </w:rPr>
  </w:style>
  <w:style w:type="paragraph" w:styleId="6">
    <w:name w:val="heading 2"/>
    <w:basedOn w:val="1"/>
    <w:next w:val="1"/>
    <w:qFormat/>
    <w:uiPriority w:val="0"/>
    <w:pPr>
      <w:keepNext/>
      <w:keepLines/>
      <w:spacing w:before="160" w:after="80"/>
      <w:outlineLvl w:val="1"/>
    </w:pPr>
    <w:rPr>
      <w:rFonts w:ascii="等线 Light" w:hAnsi="等线 Light" w:eastAsia="等线 Light" w:cs="Times New Roman"/>
      <w:color w:val="0F4761"/>
      <w:sz w:val="40"/>
      <w:szCs w:val="40"/>
    </w:rPr>
  </w:style>
  <w:style w:type="paragraph" w:styleId="7">
    <w:name w:val="heading 3"/>
    <w:basedOn w:val="1"/>
    <w:next w:val="1"/>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7">
    <w:name w:val="Default Paragraph Font"/>
    <w:semiHidden/>
    <w:uiPriority w:val="0"/>
  </w:style>
  <w:style w:type="table" w:default="1" w:styleId="15">
    <w:name w:val="Normal Table"/>
    <w:semiHidden/>
    <w:uiPriority w:val="0"/>
    <w:tblPr>
      <w:tblStyle w:val="15"/>
      <w:tblCellMar>
        <w:top w:w="0" w:type="dxa"/>
        <w:left w:w="108" w:type="dxa"/>
        <w:bottom w:w="0" w:type="dxa"/>
        <w:right w:w="108" w:type="dxa"/>
      </w:tblCellMar>
    </w:tblPr>
  </w:style>
  <w:style w:type="paragraph" w:customStyle="1" w:styleId="2">
    <w:name w:val="Default"/>
    <w:basedOn w:val="3"/>
    <w:next w:val="4"/>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3">
    <w:name w:val="纯文本1"/>
    <w:basedOn w:val="1"/>
    <w:qFormat/>
    <w:uiPriority w:val="0"/>
    <w:pPr>
      <w:textAlignment w:val="baseline"/>
    </w:pPr>
    <w:rPr>
      <w:rFonts w:hint="eastAsia" w:ascii="宋体" w:hAnsi="Courier New"/>
    </w:rPr>
  </w:style>
  <w:style w:type="paragraph" w:customStyle="1" w:styleId="4">
    <w:name w:val="正文文字 6"/>
    <w:next w:val="1"/>
    <w:qFormat/>
    <w:uiPriority w:val="99"/>
    <w:pPr>
      <w:widowControl w:val="0"/>
      <w:ind w:left="240"/>
      <w:jc w:val="both"/>
    </w:pPr>
    <w:rPr>
      <w:rFonts w:ascii="宋体" w:hAnsi="Times New Roman" w:eastAsia="宋体" w:cs="Times New Roman"/>
      <w:b/>
      <w:bCs/>
      <w:kern w:val="2"/>
      <w:sz w:val="32"/>
      <w:szCs w:val="32"/>
      <w:lang w:val="en-US" w:eastAsia="zh-CN" w:bidi="ar-SA"/>
    </w:rPr>
  </w:style>
  <w:style w:type="paragraph" w:styleId="8">
    <w:name w:val="annotation text"/>
    <w:basedOn w:val="1"/>
    <w:qFormat/>
    <w:uiPriority w:val="0"/>
    <w:pPr>
      <w:jc w:val="left"/>
    </w:pPr>
    <w:rPr>
      <w:rFonts w:ascii="Calibri" w:hAnsi="Calibri" w:eastAsia="宋体"/>
      <w:sz w:val="21"/>
      <w:szCs w:val="22"/>
    </w:rPr>
  </w:style>
  <w:style w:type="paragraph" w:styleId="9">
    <w:name w:val="Body Text"/>
    <w:basedOn w:val="1"/>
    <w:next w:val="10"/>
    <w:qFormat/>
    <w:uiPriority w:val="0"/>
    <w:pPr>
      <w:spacing w:after="120"/>
    </w:pPr>
    <w:rPr>
      <w:rFonts w:ascii="Times New Roman" w:eastAsia="宋体"/>
      <w:szCs w:val="32"/>
    </w:rPr>
  </w:style>
  <w:style w:type="paragraph" w:styleId="10">
    <w:name w:val="Title"/>
    <w:basedOn w:val="1"/>
    <w:next w:val="1"/>
    <w:qFormat/>
    <w:uiPriority w:val="0"/>
    <w:pPr>
      <w:spacing w:before="240" w:after="60"/>
      <w:jc w:val="center"/>
      <w:outlineLvl w:val="0"/>
    </w:pPr>
    <w:rPr>
      <w:rFonts w:ascii="Calibri Light" w:hAnsi="Calibri Light" w:eastAsia="宋体" w:cs="黑体"/>
      <w:b/>
      <w:bCs/>
      <w:szCs w:val="32"/>
    </w:rPr>
  </w:style>
  <w:style w:type="paragraph" w:styleId="11">
    <w:name w:val="footer"/>
    <w:basedOn w:val="1"/>
    <w:qFormat/>
    <w:uiPriority w:val="99"/>
    <w:pPr>
      <w:tabs>
        <w:tab w:val="center" w:pos="4153"/>
        <w:tab w:val="right" w:pos="8306"/>
      </w:tabs>
      <w:snapToGrid w:val="0"/>
      <w:jc w:val="left"/>
    </w:pPr>
    <w:rPr>
      <w:sz w:val="18"/>
      <w:szCs w:val="18"/>
    </w:rPr>
  </w:style>
  <w:style w:type="paragraph" w:styleId="12">
    <w:name w:val="toc 1"/>
    <w:basedOn w:val="1"/>
    <w:next w:val="1"/>
    <w:qFormat/>
    <w:uiPriority w:val="0"/>
    <w:pPr>
      <w:spacing w:before="120" w:after="120"/>
      <w:jc w:val="left"/>
    </w:pPr>
    <w:rPr>
      <w:rFonts w:ascii="Times New Roman" w:eastAsia="宋体"/>
      <w:b/>
      <w:bCs/>
      <w:caps/>
      <w:sz w:val="20"/>
      <w:szCs w:val="20"/>
    </w:rPr>
  </w:style>
  <w:style w:type="paragraph" w:styleId="13">
    <w:name w:val="toc 2"/>
    <w:basedOn w:val="1"/>
    <w:next w:val="1"/>
    <w:qFormat/>
    <w:uiPriority w:val="0"/>
    <w:pPr>
      <w:ind w:left="420" w:leftChars="200"/>
    </w:pPr>
  </w:style>
  <w:style w:type="paragraph" w:styleId="14">
    <w:name w:val="Body Text First Indent"/>
    <w:basedOn w:val="9"/>
    <w:qFormat/>
    <w:uiPriority w:val="0"/>
    <w:pPr>
      <w:ind w:firstLine="420" w:firstLineChars="100"/>
    </w:pPr>
    <w:rPr>
      <w:rFonts w:ascii="Calibri" w:hAnsi="Calibri"/>
      <w:sz w:val="21"/>
      <w:szCs w:val="22"/>
    </w:rPr>
  </w:style>
  <w:style w:type="table" w:styleId="16">
    <w:name w:val="Table Grid"/>
    <w:basedOn w:val="15"/>
    <w:qFormat/>
    <w:uiPriority w:val="59"/>
    <w:tblPr>
      <w:tblStyle w:val="1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8">
    <w:name w:val="page number"/>
    <w:basedOn w:val="17"/>
    <w:qFormat/>
    <w:uiPriority w:val="0"/>
  </w:style>
  <w:style w:type="character" w:customStyle="1" w:styleId="19">
    <w:name w:val="标题 1 字符"/>
    <w:link w:val="5"/>
    <w:qFormat/>
    <w:uiPriority w:val="0"/>
    <w:rPr>
      <w:rFonts w:ascii="等线 Light" w:hAnsi="等线 Light" w:eastAsia="等线 Light" w:cs="Times New Roman"/>
      <w:color w:val="0F4761"/>
      <w:sz w:val="48"/>
      <w:szCs w:val="48"/>
    </w:rPr>
  </w:style>
  <w:style w:type="character" w:customStyle="1" w:styleId="20">
    <w:name w:val="标题 1 字符1"/>
    <w:link w:val="5"/>
    <w:qFormat/>
    <w:uiPriority w:val="0"/>
    <w:rPr>
      <w:rFonts w:ascii="Calibri" w:hAnsi="Calibri" w:eastAsia="宋体"/>
      <w:b/>
      <w:kern w:val="44"/>
      <w:sz w:val="44"/>
      <w:szCs w:val="22"/>
    </w:rPr>
  </w:style>
  <w:style w:type="character" w:customStyle="1" w:styleId="21">
    <w:name w:val="karen11"/>
    <w:qFormat/>
    <w:uiPriority w:val="0"/>
    <w:rPr>
      <w:rFonts w:ascii="ˎ̥" w:hAnsi="ˎ̥" w:eastAsia="仿宋_GB2312"/>
      <w:sz w:val="32"/>
    </w:r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列出段落1"/>
    <w:basedOn w:val="1"/>
    <w:qFormat/>
    <w:uiPriority w:val="0"/>
    <w:pPr>
      <w:ind w:firstLine="420" w:firstLineChars="200"/>
    </w:pPr>
    <w:rPr>
      <w:rFonts w:ascii="Calibri" w:hAnsi="Calibri" w:eastAsia="宋体"/>
      <w:sz w:val="21"/>
      <w:szCs w:val="22"/>
    </w:rPr>
  </w:style>
  <w:style w:type="paragraph" w:customStyle="1" w:styleId="24">
    <w:name w:val="Table Paragraph"/>
    <w:basedOn w:val="1"/>
    <w:qFormat/>
    <w:uiPriority w:val="0"/>
    <w:pPr>
      <w:autoSpaceDE w:val="0"/>
      <w:autoSpaceDN w:val="0"/>
      <w:adjustRightInd w:val="0"/>
      <w:jc w:val="left"/>
    </w:pPr>
    <w:rPr>
      <w:rFonts w:ascii="Calibri" w:hAnsi="Calibri" w:eastAsia="宋体"/>
      <w:kern w:val="0"/>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2485</Words>
  <Characters>2796</Characters>
  <Lines>0</Lines>
  <Paragraphs>0</Paragraphs>
  <TotalTime>0</TotalTime>
  <ScaleCrop>false</ScaleCrop>
  <LinksUpToDate>false</LinksUpToDate>
  <CharactersWithSpaces>2811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2014-11-11T12:08:00Z</dcterms:created>
  <dc:creator>Administrator</dc:creator>
  <cp:lastModifiedBy>墨迹夏子</cp:lastModifiedBy>
  <cp:lastPrinted>2025-07-31T05:26:41Z</cp:lastPrinted>
  <dcterms:modified xsi:type="dcterms:W3CDTF">2025-07-30T08:09:00Z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eyJoZGlkIjoiYzY5ZDFkYjAwZjNhYTM1NDBlZTczZjFiNGMyNzYxN2IiLCJ1c2VySWQiOiIzNjAwMjk3NDgifQ==</vt:lpwstr>
  </property>
  <property fmtid="{D5CDD505-2E9C-101B-9397-08002B2CF9AE}" pid="4" name="ICV">
    <vt:lpwstr>92522631BC7E49958970F92CDC8A6984_13</vt:lpwstr>
  </property>
</Properties>
</file>