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440" w:lineRule="exact"/>
        <w:ind w:right="-340" w:rightChars="-162"/>
        <w:jc w:val="both"/>
        <w:rPr>
          <w:rFonts w:hint="eastAsia" w:ascii="仿宋" w:hAnsi="仿宋" w:eastAsia="仿宋" w:cs="仿宋"/>
          <w:b/>
          <w:color w:val="000000"/>
          <w:kern w:val="0"/>
          <w:sz w:val="28"/>
          <w:szCs w:val="28"/>
          <w:lang w:val="en-US" w:eastAsia="zh-CN" w:bidi="en-US"/>
        </w:rPr>
      </w:pPr>
      <w:r>
        <w:rPr>
          <w:rFonts w:hint="eastAsia" w:ascii="仿宋" w:hAnsi="仿宋" w:eastAsia="仿宋" w:cs="仿宋"/>
          <w:b/>
          <w:color w:val="000000"/>
          <w:kern w:val="0"/>
          <w:sz w:val="28"/>
          <w:szCs w:val="28"/>
          <w:lang w:val="en-US" w:eastAsia="zh-CN" w:bidi="en-US"/>
        </w:rPr>
        <w:t>附件：</w:t>
      </w:r>
      <w:r>
        <w:rPr>
          <w:rFonts w:hint="eastAsia" w:ascii="仿宋" w:hAnsi="仿宋" w:eastAsia="仿宋" w:cs="仿宋"/>
          <w:b/>
          <w:color w:val="000000"/>
          <w:kern w:val="0"/>
          <w:sz w:val="28"/>
          <w:szCs w:val="28"/>
          <w:lang w:val="en-US" w:eastAsia="zh-CN" w:bidi="en-US"/>
        </w:rPr>
        <w:t>拟转让专利简介</w:t>
      </w:r>
    </w:p>
    <w:p>
      <w:pPr>
        <w:pStyle w:val="7"/>
        <w:spacing w:line="360" w:lineRule="auto"/>
        <w:ind w:firstLine="723" w:firstLineChars="300"/>
        <w:jc w:val="center"/>
        <w:rPr>
          <w:rFonts w:ascii="Times New Roman" w:hAnsi="Times New Roman"/>
          <w:b/>
        </w:rPr>
      </w:pPr>
      <w:r>
        <w:rPr>
          <w:rFonts w:hint="eastAsia" w:ascii="仿宋" w:hAnsi="仿宋" w:eastAsia="仿宋" w:cs="仿宋"/>
          <w:b/>
          <w:bCs/>
          <w:color w:val="000000"/>
          <w:kern w:val="0"/>
          <w:sz w:val="24"/>
          <w:szCs w:val="24"/>
          <w:lang w:val="en-US" w:eastAsia="zh-CN" w:bidi="en-US"/>
        </w:rPr>
        <w:t>专利一、一种可降解MB工业废水的方法</w:t>
      </w:r>
    </w:p>
    <w:p>
      <w:pPr>
        <w:spacing w:line="440" w:lineRule="exact"/>
        <w:ind w:right="-338" w:rightChars="-161"/>
        <w:rPr>
          <w:rFonts w:hint="eastAsia" w:ascii="仿宋" w:hAnsi="仿宋" w:eastAsia="仿宋" w:cs="仿宋"/>
          <w:b/>
          <w:bCs/>
          <w:color w:val="000000"/>
          <w:kern w:val="0"/>
          <w:sz w:val="24"/>
          <w:szCs w:val="24"/>
          <w:lang w:eastAsia="zh-CN" w:bidi="en-US"/>
        </w:rPr>
      </w:pPr>
      <w:r>
        <w:rPr>
          <w:rFonts w:hint="eastAsia" w:ascii="仿宋" w:hAnsi="仿宋" w:eastAsia="仿宋" w:cs="仿宋"/>
          <w:b/>
          <w:bCs/>
          <w:color w:val="000000"/>
          <w:kern w:val="0"/>
          <w:sz w:val="24"/>
          <w:szCs w:val="24"/>
          <w:lang w:eastAsia="zh-CN" w:bidi="en-US"/>
        </w:rPr>
        <w:t>技术领域</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本发明涉及工业废水处理技术领域，尤其涉及一种可降解MB工业废水的方法。</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p>
    <w:p>
      <w:pPr>
        <w:spacing w:line="440" w:lineRule="exact"/>
        <w:ind w:right="-338" w:rightChars="-161"/>
        <w:jc w:val="left"/>
        <w:rPr>
          <w:rFonts w:hint="eastAsia" w:ascii="仿宋" w:hAnsi="仿宋" w:eastAsia="仿宋" w:cs="仿宋"/>
          <w:b/>
          <w:bCs/>
          <w:color w:val="000000"/>
          <w:kern w:val="0"/>
          <w:sz w:val="24"/>
          <w:szCs w:val="24"/>
          <w:lang w:eastAsia="zh-CN" w:bidi="en-US"/>
        </w:rPr>
      </w:pPr>
      <w:r>
        <w:rPr>
          <w:rFonts w:hint="eastAsia" w:ascii="仿宋" w:hAnsi="仿宋" w:eastAsia="仿宋" w:cs="仿宋"/>
          <w:b/>
          <w:bCs/>
          <w:color w:val="000000"/>
          <w:kern w:val="0"/>
          <w:sz w:val="24"/>
          <w:szCs w:val="24"/>
          <w:lang w:eastAsia="zh-CN" w:bidi="en-US"/>
        </w:rPr>
        <w:t>背景技术</w:t>
      </w:r>
    </w:p>
    <w:p>
      <w:pPr>
        <w:adjustRightInd w:val="0"/>
        <w:snapToGrid w:val="0"/>
        <w:spacing w:line="360" w:lineRule="auto"/>
        <w:ind w:firstLine="480" w:firstLineChars="200"/>
        <w:rPr>
          <w:rFonts w:ascii="Times New Roman" w:hAnsi="Times New Roman" w:eastAsia="宋体"/>
          <w:b/>
          <w:bCs/>
          <w:color w:val="000000"/>
          <w:szCs w:val="21"/>
        </w:rPr>
      </w:pPr>
      <w:r>
        <w:rPr>
          <w:rFonts w:hint="eastAsia" w:ascii="仿宋" w:hAnsi="仿宋" w:eastAsia="仿宋" w:cs="仿宋"/>
          <w:color w:val="000000"/>
          <w:kern w:val="0"/>
          <w:sz w:val="24"/>
          <w:szCs w:val="24"/>
          <w:lang w:eastAsia="zh-CN" w:bidi="en-US"/>
        </w:rPr>
        <w:t>随着工业社会的快速发展，过量的有机物污染污水排放到环境中，使得生态环境问题日益突出。因此，开发新的环境修复技术至关重要。光催化因其利用清洁丰富的太阳能、能有效降解有机污染物而备受关注，改善了环境污染。自从日本学者藤岛和本田在1979年发现TiO2半导体可以在光下催化氢的生成，以半导体光催化剂为代表的光催化转化技术因其直接利用太阳光驱动反应和良好的催化剂稳定性而成为一种很有前途的环境污染治理技术。近年来，光催化技术在染料降解、二氧化碳还原、光催化制氢、光催化合成等领域取得了一系列成果。而如何开发新型高效的光催化材料是光催化技术获得突破的关键。因此为了降解工业废水，需要设计出一种可高效降解MB工业废水的方法。</w:t>
      </w:r>
    </w:p>
    <w:p>
      <w:pPr>
        <w:spacing w:line="440" w:lineRule="exact"/>
        <w:ind w:right="-338" w:rightChars="-161"/>
        <w:jc w:val="left"/>
        <w:rPr>
          <w:rFonts w:hint="eastAsia" w:ascii="仿宋" w:hAnsi="仿宋" w:eastAsia="仿宋" w:cs="仿宋"/>
          <w:b/>
          <w:bCs/>
          <w:color w:val="000000"/>
          <w:kern w:val="0"/>
          <w:sz w:val="24"/>
          <w:szCs w:val="24"/>
          <w:lang w:eastAsia="zh-CN" w:bidi="en-US"/>
        </w:rPr>
      </w:pPr>
      <w:r>
        <w:rPr>
          <w:rFonts w:hint="eastAsia" w:ascii="仿宋" w:hAnsi="仿宋" w:eastAsia="仿宋" w:cs="仿宋"/>
          <w:b/>
          <w:bCs/>
          <w:color w:val="000000"/>
          <w:kern w:val="0"/>
          <w:sz w:val="24"/>
          <w:szCs w:val="24"/>
          <w:lang w:eastAsia="zh-CN" w:bidi="en-US"/>
        </w:rPr>
        <w:t>发明内容</w:t>
      </w:r>
    </w:p>
    <w:p>
      <w:pPr>
        <w:adjustRightInd w:val="0"/>
        <w:snapToGrid w:val="0"/>
        <w:spacing w:line="360" w:lineRule="auto"/>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本发明的目的在于提供一种可降解MB工业废水的方法，解决工业废水难处理的技术问题。</w:t>
      </w:r>
    </w:p>
    <w:p>
      <w:pPr>
        <w:adjustRightInd w:val="0"/>
        <w:snapToGrid w:val="0"/>
        <w:spacing w:line="360" w:lineRule="auto"/>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为了实现上述目的，本发明采用的技术方案如下：</w:t>
      </w:r>
    </w:p>
    <w:p>
      <w:pPr>
        <w:adjustRightInd w:val="0"/>
        <w:snapToGrid w:val="0"/>
        <w:spacing w:line="360" w:lineRule="auto"/>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一种可降解MB工业废水的方法，向装有工业废水溶液反应器中添加光催化剂，再添加H2O2溶液，然后添加盐酸使溶液呈中性，在磁搅拌下，溶液在黑暗中保持一定时间，达到解吸平衡后，把反应器放置在光照下，并使用循环冷却水冷却，在反应过程中，每5分钟提取5 mL溶液，离心并在664 nm处通过紫外分光光度计测定工业废水浓度。</w:t>
      </w:r>
    </w:p>
    <w:p>
      <w:pPr>
        <w:adjustRightInd w:val="0"/>
        <w:snapToGrid w:val="0"/>
        <w:spacing w:line="360" w:lineRule="auto"/>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进一步地，反应器为250 mL透明容器，工业废水溶液的量为150 mL ，浓度为10 mg/L，光催化剂的量为50 mg。</w:t>
      </w:r>
    </w:p>
    <w:p>
      <w:pPr>
        <w:adjustRightInd w:val="0"/>
        <w:snapToGrid w:val="0"/>
        <w:spacing w:line="360" w:lineRule="auto"/>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进一步地，添加的H2O2溶液体积为3 mL，30% H2O2，为9.79 mol/L，盐酸的量为1~2滴。</w:t>
      </w:r>
    </w:p>
    <w:p>
      <w:pPr>
        <w:adjustRightInd w:val="0"/>
        <w:snapToGrid w:val="0"/>
        <w:spacing w:line="360" w:lineRule="auto"/>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进一步地，溶液在黑暗中保持45分钟，将溶液暴露于300 W氙灯中。</w:t>
      </w:r>
    </w:p>
    <w:p>
      <w:pPr>
        <w:adjustRightInd w:val="0"/>
        <w:snapToGrid w:val="0"/>
        <w:spacing w:line="360" w:lineRule="auto"/>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进一步地，光催化剂的制备过程为，配置水滑石的前驱水溶液，即溶液A；制备g-C3N4纳米片，并使用g-C3N4纳米片制备溶液B，然后在超声机处理下将溶液A和溶液B混合在一起反应30分钟，将反应液加入100 mL聚四氟乙烯内衬的高压反应釜中，置于120 oC的烘箱中进行8小时的水热处理，用去离子水和无水乙醇反复清洗复合材料三次的同时并用离心机离心，以去除吸附在复合材料表面的杂质，并在60 oC的烘箱中干燥。得到g-C3N4/CoNiFe-LDH异质结材料，简称CNF。</w:t>
      </w:r>
    </w:p>
    <w:p>
      <w:pPr>
        <w:adjustRightInd w:val="0"/>
        <w:snapToGrid w:val="0"/>
        <w:spacing w:line="360" w:lineRule="auto"/>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 xml:space="preserve">进一步地，制备g-C3N4纳米片的具体过程为，将10 g三聚氰胺放入氧化铝陶瓷舟中，并在550 oC下在N2气氛下煅烧2 h，煅烧温度上升速度为5 oC/min，自然冷却后获得黄色产品，并在使用前研磨成细粉，使用NH4Cl辅助的方法制备剥层后的g-C3N4，将2 g剥层后的g-C3N4粉末混合在50 mL水中得到粉末混合物，并在90 oC下干燥，在550 oC下在N2气氛下再煅烧2 h粉末混合物，煅烧温度上升速度为5 oC/min，将煅烧后的100 mg粉末的产物分散，然后进行热处理，将所得悬浮液低速离心以分离剩余的g-C3N4，最后，通过将100 mg剥层的g-C3N4分散在250 mL无水乙醇中，用超声机超声5 h，然后离心，并干燥上清液悬浮液以获得浅黄色的g-C3N4粉末，从而获得超薄的g-C3N4纳米片。 </w:t>
      </w:r>
    </w:p>
    <w:p>
      <w:pPr>
        <w:adjustRightInd w:val="0"/>
        <w:snapToGrid w:val="0"/>
        <w:spacing w:line="360" w:lineRule="auto"/>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进一步地，制备溶液A的具体过程为，将0.5 mmol 的Fe(NO3)3•9H2O、0.75 mmol的Ni(NO3)2•6H2O、0.75 mmol的Co(NO3)2•6H2O、10 mmol的NH2CONH2和5 mmol的NH4F溶解在30 mL去离子水中并搅拌形成溶液A。</w:t>
      </w:r>
    </w:p>
    <w:p>
      <w:pPr>
        <w:adjustRightInd w:val="0"/>
        <w:snapToGrid w:val="0"/>
        <w:spacing w:line="360" w:lineRule="auto"/>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进一步地，将50-200 mg的g-C3N4纳米片分散在40 mL水中，并用超声机处理30 min以形成溶液B。</w:t>
      </w:r>
    </w:p>
    <w:p>
      <w:pPr>
        <w:adjustRightInd w:val="0"/>
        <w:snapToGrid w:val="0"/>
        <w:spacing w:line="360" w:lineRule="auto"/>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所述的可溶三价金属盐为氯化铁、氯化铝、硝酸铁、硝酸铝中的一种或几种；反应液中三价金属盐的浓度为0.00714 mol/L。</w:t>
      </w:r>
    </w:p>
    <w:p>
      <w:pPr>
        <w:adjustRightInd w:val="0"/>
        <w:snapToGrid w:val="0"/>
        <w:spacing w:line="360" w:lineRule="auto"/>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所述的可溶二价金属盐为氯盐、硝酸盐、硫酸盐中的一种或几种，二价金属离子选自镍离子、镁离子、钴离子中的2种；反应液中二价金属盐的浓度为0.02-0.09 mol/L。</w:t>
      </w:r>
    </w:p>
    <w:p>
      <w:pPr>
        <w:adjustRightInd w:val="0"/>
        <w:snapToGrid w:val="0"/>
        <w:spacing w:line="360" w:lineRule="auto"/>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所述的反应液中g-C3N4的浓度为0.0714-0.286 mol/L，尿素的浓度为0.1-0.3 mol/L，氟化铵的浓度为0.05-0.25 mol/L。</w:t>
      </w:r>
    </w:p>
    <w:p>
      <w:pPr>
        <w:adjustRightInd w:val="0"/>
        <w:snapToGrid w:val="0"/>
        <w:spacing w:line="360" w:lineRule="auto"/>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所述的反应液中三价金属离子为铁离子，其浓度为0.00714 mol/L，二价金属离子为镍离子和钴离子，其浓度都为0.0107 mol/L，g-C3N4的浓度为0.214 mol/L，120 oC下密闭水热反应8 h，最后生成得到的g-C3N4/CoNiFe-LDH-3（即CNF-3）异质结复合材料的催化性能最佳。</w:t>
      </w:r>
    </w:p>
    <w:p>
      <w:pPr>
        <w:adjustRightInd w:val="0"/>
        <w:snapToGrid w:val="0"/>
        <w:spacing w:line="360" w:lineRule="auto"/>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 xml:space="preserve">本发明由于采用了上述技术方案，具有以下有益效果： </w:t>
      </w:r>
    </w:p>
    <w:p>
      <w:pPr>
        <w:adjustRightInd w:val="0"/>
        <w:snapToGrid w:val="0"/>
        <w:spacing w:line="360" w:lineRule="auto"/>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本发明能在较短的时间内快速而且高效地降解废水中的亚甲基蓝污染物，具有优异的染料降解性能，光催化剂以简单易得的物质为原料，试验周期短，效率高，生产成本低，易实现规模化，由光电流表征结果可知，具有极高的光生载流子分离效率以及极好的光电效应特性，为构筑新型高效的染料降解的材料提供了新方法和思路。</w:t>
      </w:r>
    </w:p>
    <w:p>
      <w:pPr>
        <w:widowControl/>
        <w:shd w:val="clear" w:color="auto" w:fill="FFFFFF"/>
        <w:spacing w:line="525" w:lineRule="atLeast"/>
        <w:jc w:val="center"/>
        <w:textAlignment w:val="center"/>
        <w:outlineLvl w:val="0"/>
        <w:rPr>
          <w:rFonts w:hint="eastAsia" w:ascii="Times New Roman" w:hAnsi="Times New Roman" w:eastAsia="宋体" w:cs="宋体"/>
          <w:b/>
          <w:kern w:val="0"/>
          <w:sz w:val="24"/>
          <w:szCs w:val="24"/>
          <w:lang w:val="en-US" w:eastAsia="zh-CN"/>
        </w:rPr>
      </w:pPr>
    </w:p>
    <w:p>
      <w:pPr>
        <w:widowControl/>
        <w:shd w:val="clear" w:color="auto" w:fill="FFFFFF"/>
        <w:spacing w:line="525" w:lineRule="atLeast"/>
        <w:jc w:val="center"/>
        <w:textAlignment w:val="center"/>
        <w:outlineLvl w:val="0"/>
        <w:rPr>
          <w:rFonts w:hint="eastAsia" w:ascii="仿宋" w:hAnsi="仿宋" w:eastAsia="仿宋" w:cs="仿宋"/>
          <w:b/>
          <w:bCs/>
          <w:color w:val="000000"/>
          <w:kern w:val="0"/>
          <w:sz w:val="24"/>
          <w:szCs w:val="24"/>
          <w:lang w:val="en-US" w:eastAsia="zh-CN" w:bidi="en-US"/>
        </w:rPr>
      </w:pPr>
      <w:r>
        <w:rPr>
          <w:rFonts w:hint="eastAsia" w:ascii="仿宋" w:hAnsi="仿宋" w:eastAsia="仿宋" w:cs="仿宋"/>
          <w:b/>
          <w:bCs/>
          <w:color w:val="000000"/>
          <w:kern w:val="0"/>
          <w:sz w:val="24"/>
          <w:szCs w:val="24"/>
          <w:lang w:val="en-US" w:eastAsia="zh-CN" w:bidi="en-US"/>
        </w:rPr>
        <w:t>专利二、一种异质结复合材料及其应用</w:t>
      </w:r>
    </w:p>
    <w:p>
      <w:pPr>
        <w:widowControl/>
        <w:shd w:val="clear" w:color="auto" w:fill="FFFFFF"/>
        <w:spacing w:line="525" w:lineRule="atLeast"/>
        <w:jc w:val="center"/>
        <w:textAlignment w:val="center"/>
        <w:outlineLvl w:val="0"/>
        <w:rPr>
          <w:rFonts w:hint="eastAsia" w:ascii="仿宋" w:hAnsi="仿宋" w:eastAsia="仿宋" w:cs="仿宋"/>
          <w:b/>
          <w:bCs/>
          <w:color w:val="000000"/>
          <w:kern w:val="0"/>
          <w:sz w:val="24"/>
          <w:szCs w:val="24"/>
          <w:lang w:val="en-US" w:eastAsia="zh-CN" w:bidi="en-US"/>
        </w:rPr>
      </w:pPr>
    </w:p>
    <w:p>
      <w:pPr>
        <w:adjustRightInd w:val="0"/>
        <w:snapToGrid w:val="0"/>
        <w:spacing w:line="400" w:lineRule="exact"/>
        <w:rPr>
          <w:rFonts w:ascii="Times New Roman" w:hAnsi="Times New Roman" w:eastAsia="宋体"/>
          <w:b/>
          <w:bCs/>
          <w:color w:val="000000"/>
          <w:szCs w:val="21"/>
        </w:rPr>
      </w:pPr>
      <w:r>
        <w:rPr>
          <w:rFonts w:hint="eastAsia" w:ascii="仿宋" w:hAnsi="仿宋" w:eastAsia="仿宋" w:cs="仿宋"/>
          <w:b/>
          <w:bCs/>
          <w:color w:val="000000"/>
          <w:kern w:val="0"/>
          <w:sz w:val="24"/>
          <w:szCs w:val="24"/>
          <w:lang w:eastAsia="zh-CN" w:bidi="en-US"/>
        </w:rPr>
        <w:t>技术领域</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本发明涉及复合材料领域，尤其涉及一种异质结复合材料及其应用。</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p>
    <w:p>
      <w:pPr>
        <w:adjustRightInd w:val="0"/>
        <w:snapToGrid w:val="0"/>
        <w:spacing w:line="400" w:lineRule="exact"/>
        <w:rPr>
          <w:rFonts w:hint="eastAsia" w:ascii="仿宋" w:hAnsi="仿宋" w:eastAsia="仿宋" w:cs="仿宋"/>
          <w:b/>
          <w:bCs/>
          <w:color w:val="000000"/>
          <w:kern w:val="0"/>
          <w:sz w:val="24"/>
          <w:szCs w:val="24"/>
          <w:lang w:eastAsia="zh-CN" w:bidi="en-US"/>
        </w:rPr>
      </w:pPr>
      <w:r>
        <w:rPr>
          <w:rFonts w:hint="eastAsia" w:ascii="仿宋" w:hAnsi="仿宋" w:eastAsia="仿宋" w:cs="仿宋"/>
          <w:b/>
          <w:bCs/>
          <w:color w:val="000000"/>
          <w:kern w:val="0"/>
          <w:sz w:val="24"/>
          <w:szCs w:val="24"/>
          <w:lang w:eastAsia="zh-CN" w:bidi="en-US"/>
        </w:rPr>
        <w:t>背景技术</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由于对化石燃料的大量使用，燃烧产生的大量二氧化碳(CO2)已经给人们的生活造成了很大影响。由于温室效应导致的冰川融化、海平面上升等问题也影响到人类和动物的栖息地安全。因此，利用绿色清洁能源太阳能将二氧化碳转换成可再生能源是解决二氧化碳大量排放的最佳方法之一，通过光催化有效降低大气中二氧化碳浓度从而减缓温室效应刻不容缓。光催化二氧化碳还原(CO2PR)，利用具有合适带隙的半导体光催化材料，在太阳光照射下，将CO2还原成其他更有效含碳化学材料(如CO、CH4等)，在减少碳排放改善温室效应的同时，能够把CO2转换成有用的基本化工原材料，实现CO2的资源化利用。</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二氧化碳光催化还原反应(CO2PR)的先进研究一直吸引着人们对这一领域的兴趣，一系列半导体光催化材料都被广泛研究用以解决二氧化碳过度排放的问题。具有合适带隙的半导体光催化材料，在受到光激发后，会产生电子和空穴对，进而电子转移到表面受体分子上，从而实现高效还原反应。通过在催化材料表面的CO2吸附使得CO2惰性分子首先被活化，从而降低CO2接受电子攻击的难易程度，进而促进还原过程中电子和质子的转移、旧键的断裂以及新键的生成。当然，在反应过程中也不可避免地会有载流子复合现象，严重抑制了光催化活性，因此在CO2PR的发展过程中，探索研发更高效、载流子分离更优异的光催化材料势在必行。</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二氧化钛(TiO2)作为一种具有稳定、廉价、制备工艺简单以及储量丰富等多种优点的光催化材料，被作为优异半导体光催化材料用于二氧化碳光催化还原的研究中。空白二氧化钛电子和空穴复合严重，其光催化活性较低；而以二氧化钛为基底，通过异质结构的制备和助催化材料的负载，能大幅提升材料的光催化活性，加速电子传输，抑制光生电子和空穴复合，延长电子寿命，提升光催化二氧化碳还原活性和选择性。现有光催化二氧化碳还原反应，具有以下缺点：1、催化材料中贵金属部分成本昂贵，储量较小，不利于工业化。2、电子和空穴分离能力低，光催化二氧化碳还原活性低、产物选择性差。</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bookmarkStart w:id="0" w:name="_GoBack"/>
      <w:bookmarkEnd w:id="0"/>
    </w:p>
    <w:p>
      <w:pPr>
        <w:adjustRightInd w:val="0"/>
        <w:snapToGrid w:val="0"/>
        <w:spacing w:line="360" w:lineRule="auto"/>
        <w:rPr>
          <w:rFonts w:hint="eastAsia" w:ascii="仿宋" w:hAnsi="仿宋" w:eastAsia="仿宋" w:cs="仿宋"/>
          <w:b/>
          <w:bCs/>
          <w:color w:val="000000"/>
          <w:kern w:val="0"/>
          <w:sz w:val="24"/>
          <w:szCs w:val="24"/>
          <w:lang w:eastAsia="zh-CN" w:bidi="en-US"/>
        </w:rPr>
      </w:pPr>
      <w:r>
        <w:rPr>
          <w:rFonts w:hint="eastAsia" w:ascii="仿宋" w:hAnsi="仿宋" w:eastAsia="仿宋" w:cs="仿宋"/>
          <w:b/>
          <w:bCs/>
          <w:color w:val="000000"/>
          <w:kern w:val="0"/>
          <w:sz w:val="24"/>
          <w:szCs w:val="24"/>
          <w:lang w:eastAsia="zh-CN" w:bidi="en-US"/>
        </w:rPr>
        <w:t>发明内容</w:t>
      </w:r>
    </w:p>
    <w:p>
      <w:pPr>
        <w:adjustRightInd w:val="0"/>
        <w:snapToGrid w:val="0"/>
        <w:spacing w:line="360" w:lineRule="auto"/>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本发明的目的在于提供一种异质结复合材料及其应用，解决现有二氧化碳还原材料容易团聚，活性不高的技术问题。</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为了实现上述目的，本发明采用的技术方案如下：</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一种异质结复合材料，异质结复合材料为g‑C3N4/P25/NiFe‑LDH异质结复合材料，由水滑石前驱水溶液、g‑C3N4纳米片和P25在高温环境中制备成。</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进一步地，g‑C3N4纳米片的制备过程为，将10 g三聚氰胺放入氧化铝陶瓷舟中，并在550 oC下在N2气氛下煅烧2 h，温度升高的速度为5 oC/min，自然冷却后获得黄色产品，并在进一步使用前研磨成细粉，使用NH4Cl辅助的方法制备剥层后的g‑C3N4，将2 g g‑C3N4粉末混合在50 mL水中，并在90oC下干燥，在相同的加热条件下再次煅烧混合物，将约100 mg粉末的产物分散，然后进行热处理，将所得悬浮液低速离心以分离剩余的g‑C3N4，最后，将100 mg剥层后的g‑C3N4分散在250 mL无水乙醇中，用超声机超声5 h，然后离心，并干燥上清液悬浮液以获得浅黄色的g‑C3N4粉末，从而获得超薄的g‑C3N4纳米片。</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进一步地，制备水滑石前驱水溶液的具体过程为，将0.5 mmol Fe(NO3)3·9H2O、1.5 mmol Ni(NO3)2·6H2O、10 mmol NH2CONH2和5mmol NH4F溶解在50 mL去离子水中并搅拌形成溶液A。</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进一步地，称取50‑200 mg P25，将P25分散在10 mL水中，并用超声机超声处理30 min以形成溶液B。</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进一步地，称取200 mg g‑C3N4纳米片，将其分散在10 mL水中，并用超声机超声处理30min以形成溶液C，然后在超声机超声处理下将溶液A、B、C混合在一起30分钟，将反应液加入100 mL聚四氟乙烯内衬的高压反应釜中，置于120 oC的烘箱中进行8 h的水热反应处理，用去离子水和无水乙醇反复清洗复合材料三次的同时并用离心机离心，以去除吸附在复合材料表面的杂质，并在60 oC的烘箱中干燥，得到g‑C3N4/P25/NiFe‑LDH异质结材料。</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一种异质结复合材料的应用，用于将二氧化碳在光催化作用下还原为一氧化碳。</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进一步地，还原二氧化碳的具体过程为，将还原催化剂放置在反应器中，水浴锅加热产生水蒸汽，通过CO2气体通入反应器的方式将水蒸汽和CO2的混合气体带入反应器中，吹扫一定时间，然后在反应器的外侧加设光照，每小时从反应室中取样1 mL的气体产物，然后使用气相色谱进行分析。</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进一步地，在通入混合气体前，先通入CO2气体吹扫1.5 h去除反应器中的空气，通气的速度为10 mL/min，反应器为透明的石英反应器，使用300W氙灯模拟太阳光，氙灯距离催化还原材料的距离为8 cm，反应器的体积为200 mL，混合气体进行气氛中平衡30 min，以确保完全吸附气体分子。</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本发明由于采用了上述技术方案，具有以下有益效果：</w:t>
      </w:r>
    </w:p>
    <w:p>
      <w:pPr>
        <w:adjustRightInd w:val="0"/>
        <w:snapToGrid w:val="0"/>
        <w:spacing w:line="400" w:lineRule="exact"/>
        <w:ind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本发明将半导体材料g‑C3N4、P25及水滑石构建异质结结构，可利用异质结的光催化协同作用有效提高了复合材料的光催化性能，CO产率可达161.79 μmol/g，约为纯LDHs粉体材料的4.82倍，大大提高了光催化CO2还原反应的产率，复合材料具有良好的光催化稳定性。</w:t>
      </w:r>
    </w:p>
    <w:p>
      <w:pPr>
        <w:spacing w:before="156" w:beforeLines="50" w:line="440" w:lineRule="exact"/>
        <w:ind w:left="630"/>
        <w:jc w:val="left"/>
        <w:rPr>
          <w:rFonts w:ascii="Times New Roman" w:hAnsi="Times New Roman" w:eastAsia="宋体"/>
          <w:color w:val="000000"/>
          <w:szCs w:val="21"/>
        </w:rPr>
      </w:pPr>
    </w:p>
    <w:p>
      <w:pPr>
        <w:spacing w:line="360" w:lineRule="auto"/>
        <w:rPr>
          <w:rFonts w:ascii="Times New Roman" w:hAnsi="Times New Roman" w:eastAsia="宋体"/>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MxOTg2ZTY4YjJiYzY2ZTBiNTJiYjYzODVhMTUzNTMifQ=="/>
  </w:docVars>
  <w:rsids>
    <w:rsidRoot w:val="007E496D"/>
    <w:rsid w:val="0000120D"/>
    <w:rsid w:val="00086FE4"/>
    <w:rsid w:val="000D3FA7"/>
    <w:rsid w:val="001E206D"/>
    <w:rsid w:val="002471E4"/>
    <w:rsid w:val="00360234"/>
    <w:rsid w:val="00371580"/>
    <w:rsid w:val="003E0AB2"/>
    <w:rsid w:val="003E2E4B"/>
    <w:rsid w:val="00421187"/>
    <w:rsid w:val="005A713B"/>
    <w:rsid w:val="00672CBE"/>
    <w:rsid w:val="00694649"/>
    <w:rsid w:val="00712815"/>
    <w:rsid w:val="00760859"/>
    <w:rsid w:val="007E496D"/>
    <w:rsid w:val="00855292"/>
    <w:rsid w:val="009D05D8"/>
    <w:rsid w:val="00A1132A"/>
    <w:rsid w:val="00A44548"/>
    <w:rsid w:val="00AE5D04"/>
    <w:rsid w:val="00B07115"/>
    <w:rsid w:val="00B30344"/>
    <w:rsid w:val="00E06991"/>
    <w:rsid w:val="00E3786C"/>
    <w:rsid w:val="00EA637E"/>
    <w:rsid w:val="00F44AE2"/>
    <w:rsid w:val="00FE3A05"/>
    <w:rsid w:val="178C749F"/>
    <w:rsid w:val="19047267"/>
    <w:rsid w:val="2A5F68D4"/>
    <w:rsid w:val="2BC84A3E"/>
    <w:rsid w:val="387E494D"/>
    <w:rsid w:val="3B306A7D"/>
    <w:rsid w:val="412B6701"/>
    <w:rsid w:val="43CC72AC"/>
    <w:rsid w:val="4EF15C0F"/>
    <w:rsid w:val="52DC2732"/>
    <w:rsid w:val="605E58D0"/>
    <w:rsid w:val="717C0A5F"/>
    <w:rsid w:val="732279A2"/>
    <w:rsid w:val="75A55B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Plain Text"/>
    <w:basedOn w:val="1"/>
    <w:link w:val="13"/>
    <w:qFormat/>
    <w:uiPriority w:val="0"/>
    <w:rPr>
      <w:rFonts w:ascii="宋体" w:hAnsi="Courier New" w:eastAsia="宋体"/>
      <w:kern w:val="0"/>
      <w:sz w:val="20"/>
      <w:szCs w:val="20"/>
    </w:rPr>
  </w:style>
  <w:style w:type="paragraph" w:styleId="4">
    <w:name w:val="Balloon Text"/>
    <w:basedOn w:val="1"/>
    <w:link w:val="16"/>
    <w:semiHidden/>
    <w:unhideWhenUsed/>
    <w:qFormat/>
    <w:uiPriority w:val="99"/>
    <w:rPr>
      <w:sz w:val="18"/>
      <w:szCs w:val="18"/>
    </w:rPr>
  </w:style>
  <w:style w:type="paragraph" w:styleId="5">
    <w:name w:val="footer"/>
    <w:basedOn w:val="1"/>
    <w:link w:val="11"/>
    <w:unhideWhenUsed/>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10">
    <w:name w:val="页眉 字符"/>
    <w:basedOn w:val="9"/>
    <w:link w:val="6"/>
    <w:qFormat/>
    <w:uiPriority w:val="99"/>
    <w:rPr>
      <w:kern w:val="2"/>
      <w:sz w:val="18"/>
      <w:szCs w:val="18"/>
    </w:rPr>
  </w:style>
  <w:style w:type="character" w:customStyle="1" w:styleId="11">
    <w:name w:val="页脚 字符"/>
    <w:basedOn w:val="9"/>
    <w:link w:val="5"/>
    <w:uiPriority w:val="99"/>
    <w:rPr>
      <w:kern w:val="2"/>
      <w:sz w:val="18"/>
      <w:szCs w:val="18"/>
    </w:rPr>
  </w:style>
  <w:style w:type="paragraph" w:customStyle="1" w:styleId="12">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3">
    <w:name w:val="纯文本 字符"/>
    <w:basedOn w:val="9"/>
    <w:link w:val="3"/>
    <w:qFormat/>
    <w:uiPriority w:val="0"/>
    <w:rPr>
      <w:rFonts w:ascii="宋体" w:hAnsi="Courier New" w:eastAsia="宋体"/>
    </w:rPr>
  </w:style>
  <w:style w:type="character" w:customStyle="1" w:styleId="14">
    <w:name w:val="纯文本 Char1"/>
    <w:basedOn w:val="9"/>
    <w:semiHidden/>
    <w:qFormat/>
    <w:uiPriority w:val="99"/>
    <w:rPr>
      <w:rFonts w:ascii="宋体" w:hAnsi="Courier New" w:eastAsia="宋体" w:cs="Courier New"/>
      <w:kern w:val="2"/>
      <w:sz w:val="21"/>
      <w:szCs w:val="21"/>
    </w:rPr>
  </w:style>
  <w:style w:type="character" w:customStyle="1" w:styleId="15">
    <w:name w:val="zi_101"/>
    <w:qFormat/>
    <w:uiPriority w:val="0"/>
    <w:rPr>
      <w:rFonts w:hint="default" w:ascii="Verdana" w:hAnsi="Verdana"/>
      <w:snapToGrid/>
      <w:color w:val="C90000"/>
      <w:sz w:val="18"/>
      <w:szCs w:val="18"/>
    </w:rPr>
  </w:style>
  <w:style w:type="character" w:customStyle="1" w:styleId="16">
    <w:name w:val="批注框文本 字符"/>
    <w:basedOn w:val="9"/>
    <w:link w:val="4"/>
    <w:semiHidden/>
    <w:qFormat/>
    <w:uiPriority w:val="99"/>
    <w:rPr>
      <w:kern w:val="2"/>
      <w:sz w:val="18"/>
      <w:szCs w:val="18"/>
    </w:rPr>
  </w:style>
  <w:style w:type="character" w:customStyle="1" w:styleId="17">
    <w:name w:val="标题 1 字符"/>
    <w:basedOn w:val="9"/>
    <w:link w:val="2"/>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5</Pages>
  <Words>3619</Words>
  <Characters>4242</Characters>
  <Lines>15</Lines>
  <Paragraphs>4</Paragraphs>
  <TotalTime>7</TotalTime>
  <ScaleCrop>false</ScaleCrop>
  <LinksUpToDate>false</LinksUpToDate>
  <CharactersWithSpaces>4329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2018-10-14T01:54:00Z</dcterms:created>
  <dc:creator>User</dc:creator>
  <cp:lastModifiedBy>Administrator</cp:lastModifiedBy>
  <dcterms:modified xsi:type="dcterms:W3CDTF">2022-11-14T04:01:50Z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D9599A7CF0B841D4B4F01888A4E3D814</vt:lpwstr>
  </property>
</Properties>
</file>