
<file path=[Content_Types].xml><?xml version="1.0" encoding="utf-8"?>
<Types xmlns="http://schemas.openxmlformats.org/package/2006/content-types">
  <Default Extension="wmf" ContentType="image/x-w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360" w:lineRule="auto"/>
        <w:jc w:val="both"/>
        <w:rPr>
          <w:b/>
          <w:bCs/>
        </w:rPr>
      </w:pPr>
      <w:r>
        <w:rPr>
          <w:rFonts w:hint="eastAsia"/>
          <w:b/>
          <w:bCs/>
        </w:rPr>
        <w:t>附件：</w:t>
      </w:r>
    </w:p>
    <w:p>
      <w:pPr>
        <w:pStyle w:val="7"/>
        <w:spacing w:line="360" w:lineRule="auto"/>
        <w:jc w:val="center"/>
        <w:rPr>
          <w:rFonts w:asciiTheme="majorEastAsia" w:hAnsiTheme="majorEastAsia" w:eastAsiaTheme="majorEastAsia"/>
          <w:b/>
        </w:rPr>
      </w:pPr>
      <w:r>
        <w:rPr>
          <w:rFonts w:hint="eastAsia" w:asciiTheme="majorEastAsia" w:hAnsiTheme="majorEastAsia" w:eastAsiaTheme="majorEastAsia"/>
          <w:b/>
        </w:rPr>
        <w:t>拟转让发明专利简介</w:t>
      </w:r>
    </w:p>
    <w:p>
      <w:pPr>
        <w:adjustRightInd w:val="0"/>
        <w:snapToGrid w:val="0"/>
        <w:spacing w:line="400" w:lineRule="exact"/>
        <w:rPr>
          <w:rFonts w:ascii="宋体" w:hAnsi="宋体"/>
          <w:b/>
          <w:bCs/>
          <w:color w:val="000000"/>
          <w:szCs w:val="21"/>
        </w:rPr>
      </w:pPr>
      <w:r>
        <w:rPr>
          <w:rFonts w:hint="eastAsia" w:ascii="宋体" w:hAnsi="宋体"/>
          <w:b/>
          <w:bCs/>
          <w:color w:val="000000"/>
          <w:szCs w:val="21"/>
        </w:rPr>
        <w:t>一、</w:t>
      </w:r>
      <w:r>
        <w:rPr>
          <w:rFonts w:ascii="宋体" w:hAnsi="宋体"/>
          <w:b/>
          <w:bCs/>
          <w:color w:val="000000"/>
          <w:szCs w:val="21"/>
        </w:rPr>
        <w:t>技术领域</w:t>
      </w:r>
    </w:p>
    <w:p>
      <w:pPr>
        <w:adjustRightInd w:val="0"/>
        <w:snapToGrid w:val="0"/>
        <w:spacing w:line="360" w:lineRule="auto"/>
        <w:ind w:firstLine="573"/>
        <w:rPr>
          <w:rFonts w:ascii="宋体" w:hAnsi="宋体"/>
          <w:b/>
          <w:bCs/>
          <w:color w:val="000000"/>
          <w:szCs w:val="21"/>
        </w:rPr>
      </w:pPr>
      <w:r>
        <w:rPr>
          <w:rFonts w:hint="eastAsia" w:ascii="宋体" w:hAnsi="宋体"/>
          <w:szCs w:val="21"/>
        </w:rPr>
        <w:t>本发明涉及金属配位化合物领域，具体涉及</w:t>
      </w:r>
      <w:r>
        <w:rPr>
          <w:kern w:val="0"/>
          <w:szCs w:val="21"/>
        </w:rPr>
        <w:t>氧化荷苞牡丹碱稀土配合物及其合成方法和应用</w:t>
      </w:r>
      <w:r>
        <w:rPr>
          <w:rFonts w:hint="eastAsia"/>
          <w:kern w:val="0"/>
          <w:szCs w:val="21"/>
        </w:rPr>
        <w:t>。</w:t>
      </w:r>
    </w:p>
    <w:p>
      <w:pPr>
        <w:adjustRightInd w:val="0"/>
        <w:snapToGrid w:val="0"/>
        <w:spacing w:line="400" w:lineRule="exact"/>
        <w:rPr>
          <w:rFonts w:hint="eastAsia" w:ascii="Times New Roman" w:hAnsi="Times New Roman" w:cs="Times New Roman"/>
          <w:kern w:val="0"/>
          <w:szCs w:val="21"/>
        </w:rPr>
      </w:pPr>
      <w:r>
        <w:rPr>
          <w:rFonts w:hint="eastAsia" w:ascii="宋体" w:hAnsi="宋体"/>
          <w:b/>
          <w:bCs/>
          <w:color w:val="000000"/>
          <w:szCs w:val="21"/>
        </w:rPr>
        <w:t>二、</w:t>
      </w:r>
      <w:r>
        <w:rPr>
          <w:rFonts w:ascii="宋体" w:hAnsi="宋体"/>
          <w:b/>
          <w:bCs/>
          <w:color w:val="000000"/>
          <w:szCs w:val="21"/>
        </w:rPr>
        <w:t>背景技术</w:t>
      </w:r>
    </w:p>
    <w:p>
      <w:pPr>
        <w:adjustRightInd w:val="0"/>
        <w:snapToGrid w:val="0"/>
        <w:spacing w:line="360" w:lineRule="auto"/>
        <w:ind w:firstLine="420" w:firstLineChars="200"/>
        <w:rPr>
          <w:rFonts w:ascii="Times New Roman" w:hAnsi="Times New Roman" w:cs="Times New Roman"/>
          <w:kern w:val="0"/>
          <w:szCs w:val="21"/>
        </w:rPr>
      </w:pPr>
      <w:r>
        <w:rPr>
          <w:rFonts w:ascii="Times New Roman" w:hAnsi="Times New Roman" w:cs="Times New Roman"/>
          <w:kern w:val="0"/>
          <w:szCs w:val="21"/>
        </w:rPr>
        <w:t>荷苞牡丹碱主要来源于罂粟科植物水上叶荷苞牡丹(</w:t>
      </w:r>
      <w:r>
        <w:rPr>
          <w:rFonts w:ascii="Times New Roman" w:hAnsi="Times New Roman" w:cs="Times New Roman"/>
          <w:i/>
          <w:iCs/>
          <w:szCs w:val="21"/>
          <w:shd w:val="clear" w:color="auto" w:fill="FFFFFF"/>
        </w:rPr>
        <w:t>Dicentra spectabilis</w:t>
      </w:r>
      <w:r>
        <w:rPr>
          <w:rFonts w:ascii="Times New Roman" w:hAnsi="Times New Roman" w:cs="Times New Roman"/>
          <w:iCs/>
          <w:szCs w:val="21"/>
          <w:shd w:val="clear" w:color="auto" w:fill="FFFFFF"/>
        </w:rPr>
        <w:t>)</w:t>
      </w:r>
      <w:r>
        <w:rPr>
          <w:rFonts w:ascii="Times New Roman" w:hAnsi="Times New Roman" w:cs="Times New Roman"/>
          <w:kern w:val="0"/>
          <w:szCs w:val="21"/>
        </w:rPr>
        <w:t>，防已科植物荷苞地不容(</w:t>
      </w:r>
      <w:r>
        <w:rPr>
          <w:rFonts w:ascii="Times New Roman" w:hAnsi="Times New Roman" w:cs="Times New Roman"/>
          <w:i/>
          <w:iCs/>
          <w:szCs w:val="21"/>
          <w:shd w:val="clear" w:color="auto" w:fill="FFFFFF"/>
        </w:rPr>
        <w:t>Stephania dicentrinifera</w:t>
      </w:r>
      <w:r>
        <w:rPr>
          <w:rFonts w:ascii="Times New Roman" w:hAnsi="Times New Roman" w:cs="Times New Roman"/>
          <w:kern w:val="0"/>
          <w:szCs w:val="21"/>
        </w:rPr>
        <w:t>)</w:t>
      </w:r>
      <w:bookmarkStart w:id="0" w:name="OLE_LINK40"/>
      <w:r>
        <w:rPr>
          <w:rFonts w:ascii="Times New Roman" w:hAnsi="Times New Roman" w:cs="Times New Roman"/>
          <w:kern w:val="0"/>
          <w:szCs w:val="21"/>
        </w:rPr>
        <w:t>，别名痛可宁或山乌龟碱</w:t>
      </w:r>
      <w:bookmarkEnd w:id="0"/>
      <w:r>
        <w:rPr>
          <w:rFonts w:ascii="Times New Roman" w:hAnsi="Times New Roman" w:cs="Times New Roman"/>
          <w:kern w:val="0"/>
          <w:szCs w:val="21"/>
        </w:rPr>
        <w:t xml:space="preserve">。有研究学者通过分离的方法，从 </w:t>
      </w:r>
      <w:r>
        <w:rPr>
          <w:rFonts w:ascii="Times New Roman" w:hAnsi="Times New Roman" w:cs="Times New Roman"/>
          <w:i/>
          <w:kern w:val="0"/>
          <w:szCs w:val="21"/>
        </w:rPr>
        <w:t>O.leucoxylon</w:t>
      </w:r>
      <w:r>
        <w:rPr>
          <w:rFonts w:ascii="Times New Roman" w:hAnsi="Times New Roman" w:cs="Times New Roman"/>
          <w:kern w:val="0"/>
          <w:szCs w:val="21"/>
        </w:rPr>
        <w:t>中分离出具有生物活性的阿朴啡</w:t>
      </w:r>
      <w:bookmarkStart w:id="1" w:name="OLE_LINK42"/>
      <w:bookmarkStart w:id="2" w:name="OLE_LINK41"/>
      <w:r>
        <w:rPr>
          <w:rFonts w:ascii="Times New Roman" w:hAnsi="Times New Roman" w:cs="Times New Roman"/>
          <w:kern w:val="0"/>
          <w:szCs w:val="21"/>
        </w:rPr>
        <w:t>、异喹啉</w:t>
      </w:r>
      <w:bookmarkEnd w:id="1"/>
      <w:bookmarkEnd w:id="2"/>
      <w:r>
        <w:rPr>
          <w:rFonts w:ascii="Times New Roman" w:hAnsi="Times New Roman" w:cs="Times New Roman"/>
          <w:kern w:val="0"/>
          <w:szCs w:val="21"/>
        </w:rPr>
        <w:t>和双异喹啉生物碱，这些化合物包含的荷苞牡丹碱，具有抗肿瘤、镇痛镇静作用及抗菌的生物活性</w:t>
      </w:r>
      <w:bookmarkStart w:id="3" w:name="OLE_LINK43"/>
      <w:bookmarkStart w:id="4" w:name="OLE_LINK44"/>
      <w:r>
        <w:rPr>
          <w:rFonts w:ascii="Times New Roman" w:hAnsi="Times New Roman" w:cs="Times New Roman"/>
          <w:kern w:val="0"/>
          <w:szCs w:val="21"/>
        </w:rPr>
        <w:t>。</w:t>
      </w:r>
      <w:bookmarkStart w:id="5" w:name="OLE_LINK36"/>
      <w:bookmarkStart w:id="6" w:name="OLE_LINK35"/>
      <w:bookmarkStart w:id="7" w:name="OLE_LINK48"/>
      <w:r>
        <w:rPr>
          <w:rFonts w:ascii="Times New Roman" w:hAnsi="Times New Roman" w:cs="Times New Roman"/>
          <w:kern w:val="0"/>
          <w:szCs w:val="21"/>
        </w:rPr>
        <w:t>S-荷苞牡丹碱</w:t>
      </w:r>
      <w:bookmarkEnd w:id="5"/>
      <w:bookmarkEnd w:id="6"/>
      <w:bookmarkEnd w:id="7"/>
      <w:r>
        <w:rPr>
          <w:rFonts w:ascii="Times New Roman" w:hAnsi="Times New Roman" w:cs="Times New Roman"/>
          <w:kern w:val="0"/>
          <w:szCs w:val="21"/>
        </w:rPr>
        <w:t>可以从黑壳楠(</w:t>
      </w:r>
      <w:r>
        <w:rPr>
          <w:rFonts w:ascii="Times New Roman" w:hAnsi="Times New Roman" w:cs="Times New Roman"/>
          <w:i/>
          <w:kern w:val="0"/>
          <w:szCs w:val="21"/>
        </w:rPr>
        <w:t xml:space="preserve"> Lindera megaphylla </w:t>
      </w:r>
      <w:r>
        <w:rPr>
          <w:rFonts w:ascii="Times New Roman" w:hAnsi="Times New Roman" w:cs="Times New Roman"/>
          <w:kern w:val="0"/>
          <w:szCs w:val="21"/>
        </w:rPr>
        <w:t>(Lauraceae))中分离得到，通过对它进行的抗肿瘤研究发现，其对人类肝细胞瘤HuH-7有较显著的抗肿瘤活性。S-荷苞牡丹碱在对来自七种不同组织的二十一种人类肿瘤细胞的体外活性研究中，其对所有的肿瘤细胞均表现出不同程度的抗肿瘤活性，IC</w:t>
      </w:r>
      <w:r>
        <w:rPr>
          <w:rFonts w:ascii="Times New Roman" w:hAnsi="Times New Roman" w:cs="Times New Roman"/>
          <w:kern w:val="0"/>
          <w:szCs w:val="21"/>
          <w:vertAlign w:val="subscript"/>
        </w:rPr>
        <w:t>50</w:t>
      </w:r>
      <w:r>
        <w:rPr>
          <w:rFonts w:ascii="Times New Roman" w:hAnsi="Times New Roman" w:cs="Times New Roman"/>
          <w:kern w:val="0"/>
          <w:szCs w:val="21"/>
        </w:rPr>
        <w:t>值范围由对食道癌细胞HCE-6的0.4 μM 到对肝细胞瘤HA22T的29 μM，实验证明，S-荷苞牡丹碱对各种癌细胞具有一定的抑制活性。</w:t>
      </w:r>
      <w:r>
        <w:rPr>
          <w:rFonts w:ascii="Times New Roman" w:hAnsi="Times New Roman" w:cs="Times New Roman"/>
          <w:szCs w:val="21"/>
        </w:rPr>
        <w:t>例如肾上腺素受体作用的活性，离子通道作用活性，细胞毒性，抗氧化活性，抗血小板聚集活性和抗锥虫活性等。</w:t>
      </w:r>
    </w:p>
    <w:p>
      <w:pPr>
        <w:adjustRightInd w:val="0"/>
        <w:snapToGrid w:val="0"/>
        <w:spacing w:line="360" w:lineRule="auto"/>
        <w:ind w:firstLine="315" w:firstLineChars="150"/>
        <w:rPr>
          <w:rFonts w:ascii="宋体" w:hAnsi="宋体"/>
          <w:b/>
          <w:bCs/>
          <w:color w:val="000000"/>
          <w:szCs w:val="21"/>
        </w:rPr>
      </w:pPr>
      <w:r>
        <w:rPr>
          <w:rFonts w:ascii="Times New Roman" w:hAnsi="Times New Roman" w:cs="Times New Roman"/>
          <w:kern w:val="0"/>
          <w:szCs w:val="21"/>
        </w:rPr>
        <w:t>氧化的荷苞牡丹碱</w:t>
      </w:r>
      <w:bookmarkEnd w:id="3"/>
      <w:bookmarkEnd w:id="4"/>
      <w:r>
        <w:rPr>
          <w:rFonts w:ascii="Times New Roman" w:hAnsi="Times New Roman" w:cs="Times New Roman"/>
          <w:kern w:val="0"/>
          <w:szCs w:val="21"/>
        </w:rPr>
        <w:t>(</w:t>
      </w:r>
      <w:r>
        <w:rPr>
          <w:rFonts w:ascii="Times New Roman" w:hAnsi="Times New Roman" w:cs="Times New Roman"/>
          <w:i/>
          <w:kern w:val="0"/>
          <w:szCs w:val="21"/>
        </w:rPr>
        <w:t>dicentrinone</w:t>
      </w:r>
      <w:r>
        <w:rPr>
          <w:rFonts w:ascii="Times New Roman" w:hAnsi="Times New Roman" w:cs="Times New Roman"/>
          <w:kern w:val="0"/>
          <w:szCs w:val="21"/>
        </w:rPr>
        <w:t>，即氧化荷苞牡丹碱，简称DCO)，具有杀利什曼(原)虫及锥虫的活性，</w:t>
      </w:r>
      <w:r>
        <w:rPr>
          <w:rFonts w:ascii="Times New Roman" w:hAnsi="Times New Roman" w:cs="Times New Roman"/>
          <w:szCs w:val="21"/>
        </w:rPr>
        <w:t>DCO对Trypanocidal、 Antileishmanial 以及</w:t>
      </w:r>
      <w:r>
        <w:rPr>
          <w:rFonts w:ascii="Times New Roman" w:hAnsi="Times New Roman" w:cs="Times New Roman"/>
          <w:kern w:val="0"/>
          <w:szCs w:val="21"/>
        </w:rPr>
        <w:t>rad 52修复缺失型的RS322 酵母菌株具有较好的抑制活性。同时，氧化荷苞牡丹碱是</w:t>
      </w:r>
      <w:bookmarkStart w:id="8" w:name="OLE_LINK46"/>
      <w:bookmarkStart w:id="9" w:name="OLE_LINK45"/>
      <w:bookmarkStart w:id="10" w:name="OLE_LINK47"/>
      <w:r>
        <w:rPr>
          <w:rFonts w:ascii="Times New Roman" w:hAnsi="Times New Roman" w:cs="Times New Roman"/>
          <w:kern w:val="0"/>
          <w:szCs w:val="21"/>
        </w:rPr>
        <w:t>拓朴异构酶Ⅰ</w:t>
      </w:r>
      <w:bookmarkEnd w:id="8"/>
      <w:bookmarkEnd w:id="9"/>
      <w:bookmarkEnd w:id="10"/>
      <w:r>
        <w:rPr>
          <w:rFonts w:ascii="Times New Roman" w:hAnsi="Times New Roman" w:cs="Times New Roman"/>
          <w:kern w:val="0"/>
          <w:szCs w:val="21"/>
        </w:rPr>
        <w:t>、Ⅱ的抑制剂，且其对细胞的毒性也比较弱</w:t>
      </w:r>
      <w:r>
        <w:rPr>
          <w:rFonts w:ascii="Times New Roman" w:hAnsi="Times New Roman" w:cs="Times New Roman"/>
          <w:szCs w:val="21"/>
        </w:rPr>
        <w:t>。但目前尚未见有以</w:t>
      </w:r>
      <w:r>
        <w:rPr>
          <w:rFonts w:ascii="Times New Roman" w:hAnsi="Times New Roman" w:cs="Times New Roman"/>
          <w:kern w:val="0"/>
          <w:szCs w:val="21"/>
        </w:rPr>
        <w:t>DCO为配体的稀土配合物及其合成方法的相关报道。</w:t>
      </w:r>
    </w:p>
    <w:p>
      <w:pPr>
        <w:adjustRightInd w:val="0"/>
        <w:snapToGrid w:val="0"/>
        <w:spacing w:line="360" w:lineRule="auto"/>
        <w:rPr>
          <w:rFonts w:ascii="宋体" w:hAnsi="宋体"/>
          <w:b/>
          <w:bCs/>
          <w:color w:val="000000"/>
          <w:szCs w:val="21"/>
        </w:rPr>
      </w:pPr>
      <w:r>
        <w:rPr>
          <w:rFonts w:hint="eastAsia" w:ascii="宋体" w:hAnsi="宋体"/>
          <w:b/>
          <w:bCs/>
          <w:color w:val="000000"/>
          <w:szCs w:val="21"/>
        </w:rPr>
        <w:t>三、发明</w:t>
      </w:r>
      <w:r>
        <w:rPr>
          <w:rFonts w:ascii="宋体" w:hAnsi="宋体"/>
          <w:b/>
          <w:bCs/>
          <w:color w:val="000000"/>
          <w:szCs w:val="21"/>
        </w:rPr>
        <w:t>内容</w:t>
      </w:r>
    </w:p>
    <w:p>
      <w:pPr>
        <w:spacing w:line="360" w:lineRule="auto"/>
        <w:ind w:firstLine="420" w:firstLineChars="200"/>
        <w:rPr>
          <w:rFonts w:ascii="Times New Roman" w:hAnsi="Times New Roman" w:cs="Times New Roman"/>
          <w:szCs w:val="21"/>
        </w:rPr>
      </w:pPr>
      <w:r>
        <w:rPr>
          <w:rFonts w:ascii="Times New Roman" w:hAnsi="Times New Roman" w:cs="Times New Roman"/>
          <w:szCs w:val="21"/>
        </w:rPr>
        <w:t>本发明要解决的技术问题是提供一类结构新颖的氧化荷苞牡丹碱稀土配合物，以及它们的合成方法和应用。</w:t>
      </w:r>
    </w:p>
    <w:p>
      <w:pPr>
        <w:spacing w:line="360" w:lineRule="auto"/>
        <w:ind w:firstLine="420" w:firstLineChars="200"/>
        <w:rPr>
          <w:rFonts w:ascii="Times New Roman" w:hAnsi="Times New Roman" w:cs="Times New Roman"/>
          <w:szCs w:val="21"/>
        </w:rPr>
      </w:pPr>
      <w:r>
        <w:rPr>
          <w:rFonts w:ascii="Times New Roman" w:hAnsi="Times New Roman" w:cs="Times New Roman"/>
          <w:szCs w:val="21"/>
        </w:rPr>
        <w:t>本发明所述的氧化荷苞牡丹碱稀土配合物为下述式(I)所示化合物或其药学上可接受的盐：</w:t>
      </w:r>
    </w:p>
    <w:p>
      <w:pPr>
        <w:spacing w:line="360" w:lineRule="auto"/>
        <w:jc w:val="center"/>
        <w:rPr>
          <w:rFonts w:ascii="Times New Roman" w:hAnsi="Times New Roman" w:cs="Times New Roman"/>
          <w:szCs w:val="21"/>
        </w:rPr>
      </w:pPr>
      <w:r>
        <w:rPr>
          <w:bCs/>
          <w:sz w:val="28"/>
          <w:szCs w:val="21"/>
        </w:rPr>
        <w:drawing>
          <wp:inline distT="0" distB="0" distL="0" distR="0">
            <wp:extent cx="2401570" cy="15322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401570" cy="1532255"/>
                    </a:xfrm>
                    <a:prstGeom prst="rect">
                      <a:avLst/>
                    </a:prstGeom>
                    <a:noFill/>
                    <a:ln>
                      <a:noFill/>
                    </a:ln>
                  </pic:spPr>
                </pic:pic>
              </a:graphicData>
            </a:graphic>
          </wp:inline>
        </w:drawing>
      </w:r>
      <w:r>
        <w:rPr>
          <w:rFonts w:ascii="Times New Roman" w:hAnsi="Times New Roman" w:cs="Times New Roman"/>
          <w:szCs w:val="21"/>
        </w:rPr>
        <w:t>(I)；</w:t>
      </w:r>
    </w:p>
    <w:p>
      <w:pPr>
        <w:spacing w:line="360" w:lineRule="auto"/>
        <w:rPr>
          <w:rFonts w:ascii="Times New Roman" w:hAnsi="Times New Roman" w:cs="Times New Roman"/>
          <w:szCs w:val="21"/>
        </w:rPr>
      </w:pPr>
      <w:r>
        <w:rPr>
          <w:rFonts w:ascii="Times New Roman" w:hAnsi="Times New Roman" w:cs="Times New Roman"/>
          <w:szCs w:val="21"/>
        </w:rPr>
        <w:t>其中，Ln为La、Ce、Sm或Nd。</w:t>
      </w:r>
    </w:p>
    <w:p>
      <w:pPr>
        <w:spacing w:line="360" w:lineRule="auto"/>
        <w:ind w:firstLine="420" w:firstLineChars="200"/>
        <w:rPr>
          <w:rFonts w:ascii="Times New Roman" w:hAnsi="Times New Roman" w:cs="Times New Roman"/>
          <w:szCs w:val="21"/>
        </w:rPr>
      </w:pPr>
      <w:r>
        <w:rPr>
          <w:rFonts w:ascii="Times New Roman" w:hAnsi="Times New Roman" w:cs="Times New Roman"/>
          <w:szCs w:val="21"/>
        </w:rPr>
        <w:t>本发明所述的氧化荷苞牡丹碱稀土配合物的合成方法为：取下述式(Ⅱ)所示化合物与稀土金属盐，溶于溶剂体系中，于加热条件下进行配位反应，即得到相应的目标化合物；其中，</w:t>
      </w:r>
    </w:p>
    <w:p>
      <w:pPr>
        <w:spacing w:line="360" w:lineRule="auto"/>
        <w:rPr>
          <w:rFonts w:ascii="Times New Roman" w:hAnsi="Times New Roman" w:cs="Times New Roman"/>
          <w:szCs w:val="21"/>
        </w:rPr>
      </w:pPr>
      <w:r>
        <w:rPr>
          <w:rFonts w:ascii="Times New Roman" w:hAnsi="Times New Roman" w:cs="Times New Roman"/>
          <w:szCs w:val="21"/>
        </w:rPr>
        <w:t>所述的稀土金属盐为LaCl</w:t>
      </w:r>
      <w:r>
        <w:rPr>
          <w:rFonts w:ascii="Times New Roman" w:hAnsi="Times New Roman" w:cs="Times New Roman"/>
          <w:szCs w:val="21"/>
          <w:vertAlign w:val="subscript"/>
        </w:rPr>
        <w:t>3</w:t>
      </w:r>
      <w:r>
        <w:rPr>
          <w:rFonts w:ascii="Times New Roman" w:hAnsi="Times New Roman" w:cs="Times New Roman"/>
          <w:szCs w:val="21"/>
        </w:rPr>
        <w:t>·6H</w:t>
      </w:r>
      <w:r>
        <w:rPr>
          <w:rFonts w:ascii="Times New Roman" w:hAnsi="Times New Roman" w:cs="Times New Roman"/>
          <w:szCs w:val="21"/>
          <w:vertAlign w:val="subscript"/>
        </w:rPr>
        <w:t>2</w:t>
      </w:r>
      <w:r>
        <w:rPr>
          <w:rFonts w:ascii="Times New Roman" w:hAnsi="Times New Roman" w:cs="Times New Roman"/>
          <w:szCs w:val="21"/>
        </w:rPr>
        <w:t>O、CeCl</w:t>
      </w:r>
      <w:r>
        <w:rPr>
          <w:rFonts w:ascii="Times New Roman" w:hAnsi="Times New Roman" w:cs="Times New Roman"/>
          <w:szCs w:val="21"/>
          <w:vertAlign w:val="subscript"/>
        </w:rPr>
        <w:t>3</w:t>
      </w:r>
      <w:r>
        <w:rPr>
          <w:rFonts w:ascii="Times New Roman" w:hAnsi="Times New Roman" w:cs="Times New Roman"/>
          <w:szCs w:val="21"/>
        </w:rPr>
        <w:t>·6H</w:t>
      </w:r>
      <w:r>
        <w:rPr>
          <w:rFonts w:ascii="Times New Roman" w:hAnsi="Times New Roman" w:cs="Times New Roman"/>
          <w:szCs w:val="21"/>
          <w:vertAlign w:val="subscript"/>
        </w:rPr>
        <w:t>2</w:t>
      </w:r>
      <w:r>
        <w:rPr>
          <w:rFonts w:ascii="Times New Roman" w:hAnsi="Times New Roman" w:cs="Times New Roman"/>
          <w:szCs w:val="21"/>
        </w:rPr>
        <w:t>O、SmCl</w:t>
      </w:r>
      <w:r>
        <w:rPr>
          <w:rFonts w:ascii="Times New Roman" w:hAnsi="Times New Roman" w:cs="Times New Roman"/>
          <w:szCs w:val="21"/>
          <w:vertAlign w:val="subscript"/>
        </w:rPr>
        <w:t>3</w:t>
      </w:r>
      <w:r>
        <w:rPr>
          <w:rFonts w:ascii="Times New Roman" w:hAnsi="Times New Roman" w:cs="Times New Roman"/>
          <w:szCs w:val="21"/>
        </w:rPr>
        <w:t>·6H</w:t>
      </w:r>
      <w:r>
        <w:rPr>
          <w:rFonts w:ascii="Times New Roman" w:hAnsi="Times New Roman" w:cs="Times New Roman"/>
          <w:szCs w:val="21"/>
          <w:vertAlign w:val="subscript"/>
        </w:rPr>
        <w:t>2</w:t>
      </w:r>
      <w:r>
        <w:rPr>
          <w:rFonts w:ascii="Times New Roman" w:hAnsi="Times New Roman" w:cs="Times New Roman"/>
          <w:szCs w:val="21"/>
        </w:rPr>
        <w:t>O或NdCl</w:t>
      </w:r>
      <w:r>
        <w:rPr>
          <w:rFonts w:ascii="Times New Roman" w:hAnsi="Times New Roman" w:cs="Times New Roman"/>
          <w:szCs w:val="21"/>
          <w:vertAlign w:val="subscript"/>
        </w:rPr>
        <w:t>3</w:t>
      </w:r>
      <w:r>
        <w:rPr>
          <w:rFonts w:ascii="Times New Roman" w:hAnsi="Times New Roman" w:cs="Times New Roman"/>
          <w:szCs w:val="21"/>
        </w:rPr>
        <w:t>·6H</w:t>
      </w:r>
      <w:r>
        <w:rPr>
          <w:rFonts w:ascii="Times New Roman" w:hAnsi="Times New Roman" w:cs="Times New Roman"/>
          <w:szCs w:val="21"/>
          <w:vertAlign w:val="subscript"/>
        </w:rPr>
        <w:t>2</w:t>
      </w:r>
      <w:r>
        <w:rPr>
          <w:rFonts w:ascii="Times New Roman" w:hAnsi="Times New Roman" w:cs="Times New Roman"/>
          <w:szCs w:val="21"/>
        </w:rPr>
        <w:t>O；</w:t>
      </w:r>
    </w:p>
    <w:p>
      <w:pPr>
        <w:spacing w:line="360" w:lineRule="auto"/>
        <w:rPr>
          <w:rFonts w:ascii="Times New Roman" w:hAnsi="Times New Roman" w:cs="Times New Roman"/>
          <w:szCs w:val="21"/>
        </w:rPr>
      </w:pPr>
      <w:r>
        <w:rPr>
          <w:rFonts w:ascii="Times New Roman" w:hAnsi="Times New Roman" w:cs="Times New Roman"/>
          <w:szCs w:val="21"/>
        </w:rPr>
        <w:t>所述的溶剂体系为氯仿与选自甲醇或乙醇中的一种的组合，其中氯仿与甲醇或乙醇的体积比为2：1-3.5：1；</w:t>
      </w:r>
    </w:p>
    <w:p>
      <w:pPr>
        <w:spacing w:line="360" w:lineRule="auto"/>
        <w:jc w:val="center"/>
        <w:rPr>
          <w:rFonts w:ascii="Times New Roman" w:hAnsi="Times New Roman" w:cs="Times New Roman"/>
          <w:szCs w:val="21"/>
        </w:rPr>
      </w:pPr>
      <w:r>
        <w:rPr>
          <w:sz w:val="28"/>
        </w:rPr>
        <w:drawing>
          <wp:inline distT="0" distB="0" distL="0" distR="0">
            <wp:extent cx="1182370" cy="137350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182370" cy="1373505"/>
                    </a:xfrm>
                    <a:prstGeom prst="rect">
                      <a:avLst/>
                    </a:prstGeom>
                    <a:noFill/>
                    <a:ln>
                      <a:noFill/>
                    </a:ln>
                  </pic:spPr>
                </pic:pic>
              </a:graphicData>
            </a:graphic>
          </wp:inline>
        </w:drawing>
      </w:r>
      <w:r>
        <w:rPr>
          <w:rFonts w:ascii="Times New Roman" w:hAnsi="Times New Roman" w:cs="Times New Roman"/>
          <w:szCs w:val="21"/>
        </w:rPr>
        <w:t>(Ⅱ)。</w:t>
      </w:r>
    </w:p>
    <w:p>
      <w:pPr>
        <w:spacing w:line="360" w:lineRule="auto"/>
        <w:rPr>
          <w:rFonts w:ascii="Times New Roman" w:hAnsi="Times New Roman" w:cs="Times New Roman"/>
          <w:szCs w:val="21"/>
        </w:rPr>
      </w:pPr>
      <w:r>
        <w:rPr>
          <w:rFonts w:ascii="Times New Roman" w:hAnsi="Times New Roman" w:cs="Times New Roman"/>
          <w:szCs w:val="21"/>
        </w:rPr>
        <w:t>上述氧化荷苞牡丹碱稀土配合物更为具体的合成方法为：取式(Ⅱ)所示化合物与稀土金属盐，加入溶剂体系溶解，所得混合液置于容器中，经冷冻后抽真空，熔封，然后于80-120℃条件下反应，即得到相应的目标化合物。</w:t>
      </w:r>
    </w:p>
    <w:p>
      <w:pPr>
        <w:spacing w:line="360" w:lineRule="auto"/>
        <w:ind w:firstLine="420" w:firstLineChars="200"/>
        <w:rPr>
          <w:rFonts w:ascii="Times New Roman" w:hAnsi="Times New Roman" w:cs="Times New Roman"/>
          <w:szCs w:val="21"/>
        </w:rPr>
      </w:pPr>
      <w:r>
        <w:rPr>
          <w:rFonts w:ascii="Times New Roman" w:hAnsi="Times New Roman" w:cs="Times New Roman"/>
          <w:szCs w:val="21"/>
        </w:rPr>
        <w:t>上述合成方法中，式(Ⅱ)所示化合物与稀土金属盐的摩尔比为化学计量比，在实际操作中通常选取式(Ⅱ)所示化合物与稀土金属盐的摩尔比为1：1.2-1：2.0。</w:t>
      </w:r>
    </w:p>
    <w:p>
      <w:pPr>
        <w:spacing w:line="360" w:lineRule="auto"/>
        <w:rPr>
          <w:rFonts w:ascii="Times New Roman" w:hAnsi="Times New Roman" w:cs="Times New Roman"/>
          <w:szCs w:val="21"/>
        </w:rPr>
      </w:pPr>
      <w:r>
        <w:rPr>
          <w:rFonts w:ascii="Times New Roman" w:hAnsi="Times New Roman" w:cs="Times New Roman"/>
          <w:szCs w:val="21"/>
        </w:rPr>
        <w:t>上述合成方法中，所述溶剂体系的用量可根据需要确定，通常情况下，以1 mmol的式(Ⅱ)所示化合物为基准计算，参加反应的原料用10-25mL的溶剂体系来溶解。在溶剂体系的组成中，所述氯仿与甲醇或乙醇的体积比优选为3：1。</w:t>
      </w:r>
    </w:p>
    <w:p>
      <w:pPr>
        <w:spacing w:line="360" w:lineRule="auto"/>
        <w:ind w:firstLine="420" w:firstLineChars="200"/>
        <w:rPr>
          <w:rFonts w:ascii="Times New Roman" w:hAnsi="Times New Roman" w:cs="Times New Roman"/>
          <w:szCs w:val="21"/>
        </w:rPr>
      </w:pPr>
      <w:r>
        <w:rPr>
          <w:rFonts w:ascii="Times New Roman" w:hAnsi="Times New Roman" w:cs="Times New Roman"/>
          <w:szCs w:val="21"/>
        </w:rPr>
        <w:t>上述合成方法中，所述的容器通常为厚壁玻璃管；当反应在80-120℃条件下进行时，反应的时间通常控制在48-72h，此时产率可达65%以上；也可以根据需要控制在72</w:t>
      </w:r>
      <w:r>
        <w:rPr>
          <w:rFonts w:hint="eastAsia" w:ascii="Times New Roman" w:hAnsi="Times New Roman" w:cs="Times New Roman"/>
          <w:szCs w:val="21"/>
        </w:rPr>
        <w:t xml:space="preserve"> </w:t>
      </w:r>
      <w:r>
        <w:rPr>
          <w:rFonts w:ascii="Times New Roman" w:hAnsi="Times New Roman" w:cs="Times New Roman"/>
          <w:szCs w:val="21"/>
        </w:rPr>
        <w:t>h以上。所述反应更优选在100-120℃条件下进行。</w:t>
      </w:r>
    </w:p>
    <w:p>
      <w:pPr>
        <w:spacing w:line="360" w:lineRule="auto"/>
        <w:ind w:firstLine="420" w:firstLineChars="200"/>
        <w:rPr>
          <w:rFonts w:ascii="Times New Roman" w:hAnsi="Times New Roman" w:cs="Times New Roman"/>
          <w:szCs w:val="21"/>
        </w:rPr>
      </w:pPr>
      <w:r>
        <w:rPr>
          <w:rFonts w:ascii="Times New Roman" w:hAnsi="Times New Roman" w:cs="Times New Roman"/>
          <w:szCs w:val="21"/>
        </w:rPr>
        <w:t>本发明所述合成方法中涉及的式(Ⅱ)所示化合物为氧化荷苞牡丹碱，可从相关植物中分离得到，也可自行设计合成路线合成得到。</w:t>
      </w:r>
    </w:p>
    <w:p>
      <w:pPr>
        <w:spacing w:line="360" w:lineRule="auto"/>
        <w:ind w:firstLine="420" w:firstLineChars="200"/>
        <w:rPr>
          <w:rFonts w:ascii="Times New Roman" w:hAnsi="Times New Roman" w:cs="Times New Roman"/>
          <w:szCs w:val="21"/>
        </w:rPr>
      </w:pPr>
      <w:bookmarkStart w:id="11" w:name="_GoBack"/>
      <w:bookmarkEnd w:id="11"/>
      <w:r>
        <w:rPr>
          <w:rFonts w:ascii="Times New Roman" w:hAnsi="Times New Roman" w:cs="Times New Roman"/>
          <w:szCs w:val="21"/>
        </w:rPr>
        <w:t>本发明还包括上述化合物或其药学上可接受的盐在制备抗肿瘤药物中的应用。</w:t>
      </w:r>
    </w:p>
    <w:p>
      <w:pPr>
        <w:spacing w:line="360" w:lineRule="auto"/>
        <w:rPr>
          <w:rFonts w:ascii="Times New Roman" w:hAnsi="Times New Roman" w:cs="Times New Roman"/>
          <w:szCs w:val="21"/>
        </w:rPr>
      </w:pPr>
      <w:r>
        <w:rPr>
          <w:rFonts w:ascii="Times New Roman" w:hAnsi="Times New Roman" w:cs="Times New Roman"/>
          <w:szCs w:val="21"/>
        </w:rPr>
        <w:t>与现有技术相比，本发明以氧化荷苞牡丹碱为活性配体，与多种稀土离子配位反应合成了一系列氧化荷苞牡丹碱稀土配合物，通过考察它们对多种肿瘤细胞株的生长抑制作用，发现氧化荷苞牡丹碱-镧稀土配合物对SKOV3/DDP肿瘤细胞株表现出比顺铂更好的体外抗肿瘤活性，具有潜在的药用价值。</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E496D"/>
    <w:rsid w:val="00086FE4"/>
    <w:rsid w:val="001E206D"/>
    <w:rsid w:val="002471E4"/>
    <w:rsid w:val="002D7461"/>
    <w:rsid w:val="00354172"/>
    <w:rsid w:val="00360234"/>
    <w:rsid w:val="00371580"/>
    <w:rsid w:val="003E0AB2"/>
    <w:rsid w:val="003E2E4B"/>
    <w:rsid w:val="00421187"/>
    <w:rsid w:val="005A713B"/>
    <w:rsid w:val="00694649"/>
    <w:rsid w:val="00712815"/>
    <w:rsid w:val="00760859"/>
    <w:rsid w:val="007E496D"/>
    <w:rsid w:val="00855292"/>
    <w:rsid w:val="00990D07"/>
    <w:rsid w:val="00A44548"/>
    <w:rsid w:val="00A738B7"/>
    <w:rsid w:val="00AA4CDC"/>
    <w:rsid w:val="00B07115"/>
    <w:rsid w:val="00B23DB3"/>
    <w:rsid w:val="00B30344"/>
    <w:rsid w:val="00B532AE"/>
    <w:rsid w:val="00DE1E3F"/>
    <w:rsid w:val="00EA4952"/>
    <w:rsid w:val="00EA637E"/>
    <w:rsid w:val="00F30FB7"/>
    <w:rsid w:val="00F44AE2"/>
    <w:rsid w:val="178C749F"/>
    <w:rsid w:val="2BC84A3E"/>
    <w:rsid w:val="3B306A7D"/>
    <w:rsid w:val="43C01D1A"/>
    <w:rsid w:val="43CC72AC"/>
    <w:rsid w:val="717C0A5F"/>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7"/>
    <w:qFormat/>
    <w:uiPriority w:val="0"/>
    <w:pPr>
      <w:keepNext/>
      <w:keepLines/>
      <w:spacing w:before="260" w:after="260"/>
      <w:outlineLvl w:val="1"/>
    </w:pPr>
    <w:rPr>
      <w:rFonts w:ascii="Times New Roman" w:hAnsi="Times New Roman" w:eastAsia="宋体" w:cs="Times New Roman"/>
      <w:bCs/>
      <w:szCs w:val="32"/>
      <w:lang w:val="zh-CN" w:eastAsia="zh-CN"/>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Plain Text"/>
    <w:basedOn w:val="1"/>
    <w:link w:val="14"/>
    <w:qFormat/>
    <w:uiPriority w:val="0"/>
    <w:rPr>
      <w:rFonts w:ascii="宋体" w:hAnsi="Courier New" w:eastAsia="宋体"/>
      <w:kern w:val="0"/>
      <w:sz w:val="20"/>
      <w:szCs w:val="20"/>
    </w:rPr>
  </w:style>
  <w:style w:type="paragraph" w:styleId="4">
    <w:name w:val="Balloon Text"/>
    <w:basedOn w:val="1"/>
    <w:link w:val="19"/>
    <w:semiHidden/>
    <w:unhideWhenUsed/>
    <w:uiPriority w:val="99"/>
    <w:rPr>
      <w:sz w:val="18"/>
      <w:szCs w:val="18"/>
    </w:rPr>
  </w:style>
  <w:style w:type="paragraph" w:styleId="5">
    <w:name w:val="footer"/>
    <w:basedOn w:val="1"/>
    <w:link w:val="12"/>
    <w:unhideWhenUsed/>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Emphasis"/>
    <w:qFormat/>
    <w:uiPriority w:val="0"/>
    <w:rPr>
      <w:color w:val="CC0000"/>
    </w:rPr>
  </w:style>
  <w:style w:type="character" w:customStyle="1" w:styleId="11">
    <w:name w:val="页眉 Char"/>
    <w:basedOn w:val="9"/>
    <w:link w:val="6"/>
    <w:qFormat/>
    <w:uiPriority w:val="99"/>
    <w:rPr>
      <w:kern w:val="2"/>
      <w:sz w:val="18"/>
      <w:szCs w:val="18"/>
    </w:rPr>
  </w:style>
  <w:style w:type="character" w:customStyle="1" w:styleId="12">
    <w:name w:val="页脚 Char"/>
    <w:basedOn w:val="9"/>
    <w:link w:val="5"/>
    <w:uiPriority w:val="99"/>
    <w:rPr>
      <w:kern w:val="2"/>
      <w:sz w:val="18"/>
      <w:szCs w:val="18"/>
    </w:rPr>
  </w:style>
  <w:style w:type="paragraph" w:customStyle="1" w:styleId="13">
    <w:name w:val="正文1"/>
    <w:uiPriority w:val="0"/>
    <w:pPr>
      <w:jc w:val="both"/>
    </w:pPr>
    <w:rPr>
      <w:rFonts w:ascii="Times New Roman" w:hAnsi="Times New Roman" w:eastAsia="宋体" w:cs="Times New Roman"/>
      <w:kern w:val="2"/>
      <w:sz w:val="21"/>
      <w:szCs w:val="21"/>
      <w:lang w:val="en-US" w:eastAsia="zh-CN" w:bidi="ar-SA"/>
    </w:rPr>
  </w:style>
  <w:style w:type="character" w:customStyle="1" w:styleId="14">
    <w:name w:val="纯文本 Char"/>
    <w:basedOn w:val="9"/>
    <w:link w:val="3"/>
    <w:qFormat/>
    <w:uiPriority w:val="0"/>
    <w:rPr>
      <w:rFonts w:ascii="宋体" w:hAnsi="Courier New" w:eastAsia="宋体"/>
    </w:rPr>
  </w:style>
  <w:style w:type="character" w:customStyle="1" w:styleId="15">
    <w:name w:val="纯文本 Char1"/>
    <w:basedOn w:val="9"/>
    <w:semiHidden/>
    <w:qFormat/>
    <w:uiPriority w:val="99"/>
    <w:rPr>
      <w:rFonts w:ascii="宋体" w:hAnsi="Courier New" w:eastAsia="宋体" w:cs="Courier New"/>
      <w:kern w:val="2"/>
      <w:sz w:val="21"/>
      <w:szCs w:val="21"/>
    </w:rPr>
  </w:style>
  <w:style w:type="character" w:customStyle="1" w:styleId="16">
    <w:name w:val="zi_101"/>
    <w:uiPriority w:val="0"/>
    <w:rPr>
      <w:rFonts w:hint="default" w:ascii="Verdana" w:hAnsi="Verdana"/>
      <w:snapToGrid/>
      <w:color w:val="C90000"/>
      <w:sz w:val="18"/>
      <w:szCs w:val="18"/>
    </w:rPr>
  </w:style>
  <w:style w:type="character" w:customStyle="1" w:styleId="17">
    <w:name w:val="标题 2 Char"/>
    <w:basedOn w:val="9"/>
    <w:link w:val="2"/>
    <w:uiPriority w:val="0"/>
    <w:rPr>
      <w:rFonts w:ascii="Times New Roman" w:hAnsi="Times New Roman" w:eastAsia="宋体" w:cs="Times New Roman"/>
      <w:bCs/>
      <w:kern w:val="2"/>
      <w:sz w:val="21"/>
      <w:szCs w:val="32"/>
      <w:lang w:val="zh-CN" w:eastAsia="zh-CN"/>
    </w:rPr>
  </w:style>
  <w:style w:type="character" w:customStyle="1" w:styleId="18">
    <w:name w:val="schriftd1"/>
    <w:uiPriority w:val="0"/>
    <w:rPr>
      <w:rFonts w:hint="default" w:ascii="Arial" w:hAnsi="Arial"/>
      <w:b/>
      <w:bCs/>
      <w:color w:val="000000"/>
      <w:sz w:val="16"/>
      <w:szCs w:val="16"/>
    </w:rPr>
  </w:style>
  <w:style w:type="character" w:customStyle="1" w:styleId="19">
    <w:name w:val="批注框文本 Char"/>
    <w:basedOn w:val="9"/>
    <w:link w:val="4"/>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3</Pages>
  <Words>1358</Words>
  <Characters>1624</Characters>
  <Lines>11</Lines>
  <Paragraphs>3</Paragraphs>
  <TotalTime>31</TotalTime>
  <ScaleCrop>false</ScaleCrop>
  <LinksUpToDate>false</LinksUpToDate>
  <CharactersWithSpaces>1639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Administrator</cp:lastModifiedBy>
  <dcterms:modified xsi:type="dcterms:W3CDTF">2022-04-13T02:20:54Z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F3DD1DE10173487094296F296897CEA3</vt:lpwstr>
  </property>
</Properties>
</file>