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jc w:val="left"/>
        <w:outlineLvl w:val="0"/>
        <w:rPr>
          <w:rFonts w:ascii="微软雅黑" w:hAnsi="微软雅黑" w:eastAsia="微软雅黑" w:cs="宋体"/>
          <w:bCs/>
          <w:color w:val="000000"/>
          <w:kern w:val="36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36"/>
          <w:sz w:val="28"/>
          <w:szCs w:val="28"/>
        </w:rPr>
        <w:t>附件2</w:t>
      </w:r>
    </w:p>
    <w:p>
      <w:pPr>
        <w:widowControl/>
        <w:shd w:val="clear" w:color="auto" w:fill="FFFFFF"/>
        <w:spacing w:line="600" w:lineRule="atLeast"/>
        <w:jc w:val="left"/>
        <w:outlineLvl w:val="0"/>
        <w:rPr>
          <w:rFonts w:ascii="微软雅黑" w:hAnsi="微软雅黑" w:eastAsia="微软雅黑" w:cs="宋体"/>
          <w:bCs/>
          <w:color w:val="000000"/>
          <w:kern w:val="36"/>
          <w:sz w:val="28"/>
          <w:szCs w:val="28"/>
        </w:rPr>
      </w:pPr>
      <w:bookmarkStart w:id="0" w:name="_GoBack"/>
      <w:bookmarkEnd w:id="0"/>
    </w:p>
    <w:p>
      <w:pPr>
        <w:widowControl/>
        <w:shd w:val="clear" w:color="auto" w:fill="FFFFFF"/>
        <w:spacing w:line="600" w:lineRule="atLeast"/>
        <w:jc w:val="center"/>
        <w:outlineLvl w:val="0"/>
        <w:rPr>
          <w:rFonts w:ascii="微软雅黑" w:hAnsi="微软雅黑" w:eastAsia="微软雅黑" w:cs="宋体"/>
          <w:b/>
          <w:bCs/>
          <w:color w:val="000000"/>
          <w:kern w:val="36"/>
          <w:sz w:val="36"/>
          <w:szCs w:val="36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36"/>
          <w:sz w:val="36"/>
          <w:szCs w:val="36"/>
        </w:rPr>
        <w:t>国家自然科学基金申请代码（2020年版）简介</w:t>
      </w:r>
    </w:p>
    <w:p>
      <w:pPr>
        <w:widowControl/>
        <w:shd w:val="clear" w:color="auto" w:fill="FFFFFF"/>
        <w:spacing w:line="450" w:lineRule="atLeast"/>
        <w:jc w:val="center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napToGrid w:val="0"/>
        <w:spacing w:line="360" w:lineRule="auto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0"/>
          <w:szCs w:val="20"/>
        </w:rPr>
        <w:t>　　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《国家自然科学基金申请代码（2020年版）》[以下简称申请代码（2020年版）]业经2020年10月国家自然科学基金委员会党组审批，已正式印发后实施。为做好科学基金申请工作，现将有关情况介绍如下。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申请代码（2020年版）按照“符合知识体系逻辑结构、促进知识与应用融通”总要求，坚持特征优先、粗细适宜、动态优化、服务管理的基本原则，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调整一级和二级代码，取消三级代码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，进一步规范申请代码名称，做到科学准确、简明规范、内涵唯一。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调整后，申请代码层级统一为两层，总量为1389个。其中，一级代码126个，二级代码1263个。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【数理科学部】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根据重要新兴学科发展的趋势，增加了人工智能、数据科学、极端环境与灾害力学、行星科学、量子调控等重要新兴领域的申请代码设置。调整后，一级代码30个，二级代码208个。其中，数学学科设置6个一级代码，即A01—A06；力学学科设置5个一级代码，即A07—A13；天文学科设置6个一级代码，即A14—A19；物理I学科5个一级代码，即A20—A24；物理II学科设置6个一级代码，即A25—A30；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【化学科学部】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新增人工智能等前沿方向，以及与应用领域（材料、能源、资源、环境、农业、生命医学等）的若干交叉方向。调整后，一级代码9个，二级代码87个。其中，原一级代码“B05材料化学与能源化学”拆分为两个一级代码“B05材料化学”和“B09能源化学”。部分二级代码重组，部分代码名称修改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【生命科学部】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进一步突出强调生物学相关学科领域的科学前沿导向，农业科学相关学科领域的前沿和国家重大需求导向。调整后，一级代码21个；二级代码209个。其中，一级代码无变化；二级代码中的87个继承了原二级代码，41个由原部分二级代码组合形成，20个继承了原三级代码，54个由部分原三级代码组合而来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【地球科学部】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根据“宜居地球”为核心科学问题的“三深（深地、深海、深空）一系统（地球系统）”作为顶层设计，将每个一级代码按照所包含的三类学科领域，梳理调整相应的二级申请代码。具体为，第一类为基础和分支学科领域，为学科发展提供基础理论支撑；第二类为发展和交叉学科领域，面向国家需求、科学前沿以及学科交叉方向，为学科未来新的生长点；第三类为支撑技术领域，面向学科发展提供关键性技术、方法等“卡脖子”问题的解决方案。调整后，一级代码7个；二级代码110个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【工程与材料科学部】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2019年试点调整了申请代码，2020年实施了新代码。调整后，增设“交通与运载工程”、“新概念材料与材料共性科学”2个一级代码；将现有资助领域优化升级为“环境工程”和“海岸工程”2个一级代码；同时突出了亚稳金属材料、光电磁有机高分子、数字矿山、生物制造等新的研究方向。现一级代码13个，二级代码117个。申请代码（2020年版）中，原二级代码“E0301高分子材料合成与改性”名称修改为“E0301高分子材料制备”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【信息科学部】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2019年试点调整了申请代码，2020年实施了新代码，主要面向软件、量子科学、国家安全和大数据等国家重大需求领域，设置了相应的申请代码；积极推进交叉研究，设立了5个相关代码；同时，优化申请代码数量和名称，有效简化过细的代码设置，提升了代码规范性。一级代码7个，二级代码88个。申请代码（2020年版）较2020年无变化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【管理科学部】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面向复杂管理系统，按照宏观、中观、微观三层系统，结合管理科学与工程、工商管理、经济科学、宏观管理与政策四个分支学科，以原创、前沿、需求和交叉四类研究划分，考虑颠覆性技术影响，汲取其他自然科学领域的理论方法，形成管理科学知识的内在逻辑体系。根据逻辑体系，在原有框架基础上进一步优化二级申请代码。调整后，一级代码4个；二级代码57个。</w:t>
      </w:r>
    </w:p>
    <w:p>
      <w:pPr>
        <w:widowControl/>
        <w:shd w:val="clear" w:color="auto" w:fill="FFFFFF"/>
        <w:snapToGrid w:val="0"/>
        <w:spacing w:line="360" w:lineRule="auto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　　</w:t>
      </w:r>
      <w:r>
        <w:rPr>
          <w:rFonts w:hint="eastAsia" w:ascii="微软雅黑" w:hAnsi="微软雅黑" w:eastAsia="微软雅黑" w:cs="宋体"/>
          <w:b/>
          <w:color w:val="000000"/>
          <w:kern w:val="0"/>
          <w:sz w:val="28"/>
          <w:szCs w:val="28"/>
          <w:u w:val="single"/>
        </w:rPr>
        <w:t>【医学科学部】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进一步强化面向国家需求、新兴学科领域发展需求以及交叉融合需求，优化分支领域，调整相应的申请代码，一级代码35个，二级代码381个。其中，原一级代码“H09神经系统和精神疾病”调整为两个一级代码“H09神经系统”和“H10精神卫生与心理健康”；原“H15急重症医学/创伤/烧伤/整形”调整为两个一级代码“H16急重症医学”和“H17创伤/烧伤/整形”；原“H19医学病原生物与感染”调整为两个一级代码“H21医学病毒学与病毒感染”和“H22医学病原生物与感染”；新增一级代码“H24医学遗传学”。此外，对原一级代码“影像医学与生物医学工程”、“职业病学”等进行了重组。</w:t>
      </w:r>
    </w:p>
    <w:p>
      <w:pPr>
        <w:snapToGrid w:val="0"/>
        <w:spacing w:line="360" w:lineRule="auto"/>
        <w:rPr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688"/>
    <w:rsid w:val="00090C8D"/>
    <w:rsid w:val="002566D9"/>
    <w:rsid w:val="002801F6"/>
    <w:rsid w:val="002F74F8"/>
    <w:rsid w:val="00354B1C"/>
    <w:rsid w:val="00532688"/>
    <w:rsid w:val="007122EE"/>
    <w:rsid w:val="008B1334"/>
    <w:rsid w:val="00A415E6"/>
    <w:rsid w:val="00A5647D"/>
    <w:rsid w:val="00C825AC"/>
    <w:rsid w:val="00D76B19"/>
    <w:rsid w:val="00ED1909"/>
    <w:rsid w:val="00F75BDB"/>
    <w:rsid w:val="00F85252"/>
    <w:rsid w:val="521A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normal105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281</Words>
  <Characters>1605</Characters>
  <Lines>13</Lines>
  <Paragraphs>3</Paragraphs>
  <TotalTime>6</TotalTime>
  <ScaleCrop>false</ScaleCrop>
  <LinksUpToDate>false</LinksUpToDate>
  <CharactersWithSpaces>1883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2021-01-16T00:48:00Z</dcterms:created>
  <dc:creator>a</dc:creator>
  <cp:lastModifiedBy>蒙敏</cp:lastModifiedBy>
  <dcterms:modified xsi:type="dcterms:W3CDTF">2021-01-16T09:58:15Z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