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left"/>
        <w:outlineLvl w:val="0"/>
        <w:rPr>
          <w:rFonts w:ascii="微软雅黑" w:hAnsi="微软雅黑" w:eastAsia="微软雅黑" w:cs="宋体"/>
          <w:bCs/>
          <w:color w:val="000000" w:themeColor="text1"/>
          <w:kern w:val="36"/>
          <w:sz w:val="28"/>
          <w:szCs w:val="28"/>
          <w14:textFill>
            <w14:solidFill>
              <w14:schemeClr w14:val="tx1"/>
            </w14:solidFill>
          </w14:textFill>
        </w:rPr>
      </w:pPr>
      <w:r>
        <w:rPr>
          <w:rFonts w:hint="eastAsia" w:ascii="微软雅黑" w:hAnsi="微软雅黑" w:eastAsia="微软雅黑" w:cs="宋体"/>
          <w:bCs/>
          <w:color w:val="000000" w:themeColor="text1"/>
          <w:kern w:val="36"/>
          <w:sz w:val="28"/>
          <w:szCs w:val="28"/>
          <w14:textFill>
            <w14:solidFill>
              <w14:schemeClr w14:val="tx1"/>
            </w14:solidFill>
          </w14:textFill>
        </w:rPr>
        <w:t>附件3</w:t>
      </w:r>
    </w:p>
    <w:p>
      <w:pPr>
        <w:widowControl/>
        <w:shd w:val="clear" w:color="auto" w:fill="FFFFFF"/>
        <w:spacing w:line="600" w:lineRule="atLeast"/>
        <w:jc w:val="left"/>
        <w:outlineLvl w:val="0"/>
        <w:rPr>
          <w:rFonts w:ascii="微软雅黑" w:hAnsi="微软雅黑" w:eastAsia="微软雅黑" w:cs="宋体"/>
          <w:bCs/>
          <w:color w:val="000000" w:themeColor="text1"/>
          <w:kern w:val="36"/>
          <w:sz w:val="28"/>
          <w:szCs w:val="28"/>
          <w14:textFill>
            <w14:solidFill>
              <w14:schemeClr w14:val="tx1"/>
            </w14:solidFill>
          </w14:textFill>
        </w:rPr>
      </w:pPr>
    </w:p>
    <w:p>
      <w:pPr>
        <w:widowControl/>
        <w:shd w:val="clear" w:color="auto" w:fill="FFFFFF"/>
        <w:spacing w:line="600" w:lineRule="atLeast"/>
        <w:jc w:val="center"/>
        <w:outlineLvl w:val="0"/>
        <w:rPr>
          <w:rFonts w:ascii="微软雅黑" w:hAnsi="微软雅黑" w:eastAsia="微软雅黑" w:cs="宋体"/>
          <w:b/>
          <w:bCs/>
          <w:color w:val="000000" w:themeColor="text1"/>
          <w:kern w:val="36"/>
          <w:sz w:val="36"/>
          <w:szCs w:val="36"/>
          <w14:textFill>
            <w14:solidFill>
              <w14:schemeClr w14:val="tx1"/>
            </w14:solidFill>
          </w14:textFill>
        </w:rPr>
      </w:pPr>
      <w:r>
        <w:rPr>
          <w:rFonts w:hint="eastAsia" w:ascii="微软雅黑" w:hAnsi="微软雅黑" w:eastAsia="微软雅黑" w:cs="宋体"/>
          <w:b/>
          <w:bCs/>
          <w:color w:val="000000" w:themeColor="text1"/>
          <w:kern w:val="36"/>
          <w:sz w:val="36"/>
          <w:szCs w:val="36"/>
          <w14:textFill>
            <w14:solidFill>
              <w14:schemeClr w14:val="tx1"/>
            </w14:solidFill>
          </w14:textFill>
        </w:rPr>
        <w:t>2021年度国家自然科学基金</w:t>
      </w:r>
    </w:p>
    <w:p>
      <w:pPr>
        <w:widowControl/>
        <w:shd w:val="clear" w:color="auto" w:fill="FFFFFF"/>
        <w:spacing w:line="600" w:lineRule="atLeast"/>
        <w:jc w:val="center"/>
        <w:outlineLvl w:val="0"/>
        <w:rPr>
          <w:rFonts w:ascii="微软雅黑" w:hAnsi="微软雅黑" w:eastAsia="微软雅黑" w:cs="宋体"/>
          <w:b/>
          <w:bCs/>
          <w:color w:val="000000" w:themeColor="text1"/>
          <w:kern w:val="36"/>
          <w:sz w:val="36"/>
          <w:szCs w:val="36"/>
          <w14:textFill>
            <w14:solidFill>
              <w14:schemeClr w14:val="tx1"/>
            </w14:solidFill>
          </w14:textFill>
        </w:rPr>
      </w:pPr>
      <w:r>
        <w:rPr>
          <w:rFonts w:hint="eastAsia" w:ascii="微软雅黑" w:hAnsi="微软雅黑" w:eastAsia="微软雅黑" w:cs="宋体"/>
          <w:b/>
          <w:bCs/>
          <w:color w:val="000000" w:themeColor="text1"/>
          <w:kern w:val="36"/>
          <w:sz w:val="36"/>
          <w:szCs w:val="36"/>
          <w14:textFill>
            <w14:solidFill>
              <w14:schemeClr w14:val="tx1"/>
            </w14:solidFill>
          </w14:textFill>
        </w:rPr>
        <w:t>区域创新发展联合基金指南（节选广西部分）</w:t>
      </w:r>
    </w:p>
    <w:p>
      <w:pPr>
        <w:widowControl/>
        <w:shd w:val="clear" w:color="auto" w:fill="FFFFFF"/>
        <w:spacing w:line="450" w:lineRule="atLeast"/>
        <w:jc w:val="center"/>
        <w:rPr>
          <w:rFonts w:ascii="微软雅黑" w:hAnsi="微软雅黑" w:eastAsia="微软雅黑" w:cs="宋体"/>
          <w:color w:val="000000" w:themeColor="text1"/>
          <w:kern w:val="0"/>
          <w:sz w:val="18"/>
          <w:szCs w:val="18"/>
          <w14:textFill>
            <w14:solidFill>
              <w14:schemeClr w14:val="tx1"/>
            </w14:solidFill>
          </w14:textFill>
        </w:rPr>
      </w:pP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自然科学基金委与地方政府共同出资设立区域创新发展联合基金，旨在发挥国家自然科学基金的导向作用，吸引和集聚全国的优势科研力量，围绕区域经济与社会发展中的重大需求，聚焦其中的关键科学问题开展基础研究和应用基础研究，促进跨区域、跨部门的协同创新，推动我国区域自主创新能力的提升。</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2021年度区域创新发展联合基金以</w:t>
      </w:r>
      <w:r>
        <w:rPr>
          <w:rFonts w:hint="eastAsia" w:ascii="微软雅黑" w:hAnsi="微软雅黑" w:eastAsia="微软雅黑" w:cs="宋体"/>
          <w:b/>
          <w:color w:val="000000" w:themeColor="text1"/>
          <w:kern w:val="0"/>
          <w:sz w:val="28"/>
          <w:szCs w:val="28"/>
          <w:u w:val="single"/>
          <w14:textFill>
            <w14:solidFill>
              <w14:schemeClr w14:val="tx1"/>
            </w14:solidFill>
          </w14:textFill>
        </w:rPr>
        <w:t>重点支持项目</w:t>
      </w:r>
      <w:r>
        <w:rPr>
          <w:rFonts w:hint="eastAsia" w:ascii="微软雅黑" w:hAnsi="微软雅黑" w:eastAsia="微软雅黑" w:cs="宋体"/>
          <w:color w:val="000000" w:themeColor="text1"/>
          <w:kern w:val="0"/>
          <w:sz w:val="28"/>
          <w:szCs w:val="28"/>
          <w14:textFill>
            <w14:solidFill>
              <w14:schemeClr w14:val="tx1"/>
            </w14:solidFill>
          </w14:textFill>
        </w:rPr>
        <w:t>或</w:t>
      </w:r>
      <w:r>
        <w:rPr>
          <w:rFonts w:hint="eastAsia" w:ascii="微软雅黑" w:hAnsi="微软雅黑" w:eastAsia="微软雅黑" w:cs="宋体"/>
          <w:b/>
          <w:color w:val="000000" w:themeColor="text1"/>
          <w:kern w:val="0"/>
          <w:sz w:val="28"/>
          <w:szCs w:val="28"/>
          <w:u w:val="single"/>
          <w14:textFill>
            <w14:solidFill>
              <w14:schemeClr w14:val="tx1"/>
            </w14:solidFill>
          </w14:textFill>
        </w:rPr>
        <w:t>集成项目</w:t>
      </w:r>
      <w:r>
        <w:rPr>
          <w:rFonts w:hint="eastAsia" w:ascii="微软雅黑" w:hAnsi="微软雅黑" w:eastAsia="微软雅黑" w:cs="宋体"/>
          <w:color w:val="000000" w:themeColor="text1"/>
          <w:kern w:val="0"/>
          <w:sz w:val="28"/>
          <w:szCs w:val="28"/>
          <w14:textFill>
            <w14:solidFill>
              <w14:schemeClr w14:val="tx1"/>
            </w14:solidFill>
          </w14:textFill>
        </w:rPr>
        <w:t>的形式予以资助。重点支持项目和集成项目的</w:t>
      </w:r>
      <w:r>
        <w:rPr>
          <w:rFonts w:hint="eastAsia" w:ascii="微软雅黑" w:hAnsi="微软雅黑" w:eastAsia="微软雅黑" w:cs="宋体"/>
          <w:b/>
          <w:color w:val="000000" w:themeColor="text1"/>
          <w:kern w:val="0"/>
          <w:sz w:val="28"/>
          <w:szCs w:val="28"/>
          <w:u w:val="single"/>
          <w14:textFill>
            <w14:solidFill>
              <w14:schemeClr w14:val="tx1"/>
            </w14:solidFill>
          </w14:textFill>
        </w:rPr>
        <w:t>资助期限均为4年</w:t>
      </w:r>
      <w:r>
        <w:rPr>
          <w:rFonts w:hint="eastAsia" w:ascii="微软雅黑" w:hAnsi="微软雅黑" w:eastAsia="微软雅黑" w:cs="宋体"/>
          <w:color w:val="000000" w:themeColor="text1"/>
          <w:kern w:val="0"/>
          <w:sz w:val="28"/>
          <w:szCs w:val="28"/>
          <w14:textFill>
            <w14:solidFill>
              <w14:schemeClr w14:val="tx1"/>
            </w14:solidFill>
          </w14:textFill>
        </w:rPr>
        <w:t>，其中</w:t>
      </w:r>
      <w:r>
        <w:rPr>
          <w:rFonts w:hint="eastAsia" w:ascii="微软雅黑" w:hAnsi="微软雅黑" w:eastAsia="微软雅黑" w:cs="宋体"/>
          <w:b/>
          <w:color w:val="000000" w:themeColor="text1"/>
          <w:kern w:val="0"/>
          <w:sz w:val="28"/>
          <w:szCs w:val="28"/>
          <w:u w:val="single"/>
          <w14:textFill>
            <w14:solidFill>
              <w14:schemeClr w14:val="tx1"/>
            </w14:solidFill>
          </w14:textFill>
        </w:rPr>
        <w:t>重点支持项目的直接费用平均资助强度约为260万元/项，集成项目的直接费用平均资助强度详见相关指南内容</w:t>
      </w:r>
      <w:r>
        <w:rPr>
          <w:rFonts w:hint="eastAsia" w:ascii="微软雅黑" w:hAnsi="微软雅黑" w:eastAsia="微软雅黑" w:cs="宋体"/>
          <w:color w:val="000000" w:themeColor="text1"/>
          <w:kern w:val="0"/>
          <w:sz w:val="28"/>
          <w:szCs w:val="28"/>
          <w14:textFill>
            <w14:solidFill>
              <w14:schemeClr w14:val="tx1"/>
            </w14:solidFill>
          </w14:textFill>
        </w:rPr>
        <w:t>。</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一、生物与农业领域</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(十二）围绕广西特色农林牧渔、畜禽业健康可持续发展及特色生物药材资源创新利用等方面的关键科学问题，开展相关基础和应用基础研究。</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重点支持项目研究方向:</w:t>
      </w:r>
      <w:bookmarkStart w:id="0" w:name="_GoBack"/>
      <w:bookmarkEnd w:id="0"/>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1.广西北部湾特色水产品加工过程中品质变化的分子基础与调控机制（申请代码1选择C20的下属代码）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罗非鱼、金娼鱼和牡蛎等广西北部湾特色水产品为研究对象，开展加工过程中品质变化的分子基础与调控机制研究，构建北部湾特色水产品加工品质表征及评价模型，挖掘加工过程中品质变化的功能基因和关键调控酶，揭示加工过程中品质变化的调控途径和机制，为北部湾特色水产品精深加工提供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2.广西特色蔬菜种质资源优异性状基因的挖掘与分子育种基础研究（申请代码1选择C15的下属代码)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节瓜、蛇瓜等广西特色蔬菜为研究对象，开展优异农艺性状相关基因的定位、克隆、功能验证以及分子标记开发等研究，以优异性状相关基因挖掘为基础，开展分子育种，创制一批具有重要应用价值的种质材料，为广西特色蔬菜的遗传改良提供新种质和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3.广西特色果树种质资源抗逆分子机制研究（申请代码1选择C15的下属代码)以广西特色果树为研究对象，开展重要抗逆基因的克隆和功能鉴定研究，挖掘重要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抗逆基因，创制高抗优质的果树育种材料，阐明其逆境应答的分子机制，解析其基因调控网络，为抗逆育种提供理论依据。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4.耐黄龙病柑橘种质材料的收集、评价及机理研究（申请代码1选择C14的下属代码)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对野生柑橘和田间耐黄龙病柑橘种质资源进行收集、鉴定和评价，建立系统的耐病评价体系;研究耐病材料中病菌的增殖和分布;筛选耐病候选基因，开展耐病机理研究，为抗病育种奠定理论与实践基础。</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5.微生物高效转化农业非粮生物质及其调控机制研究（申请代码1选择C01的下属代码）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转化甘蔗渣和木薯淀粉等广西优势特色农业非粮生物质的真菌为研究对象，筛选与鉴定高效转化的真菌，开展真菌纤维素酶、木聚糖酶和生淀粉酶基因表达调控的机理研究,揭示真菌调控其生物质转化效率的分子机制。</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6.基于智能终端的人畜共患病早筛快检关键理论与技术研究（申请代码1选择C18的下属代码）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针对猪链球菌（ 2型)、禽流感等广西高发人畜共患病缺乏有效早期筛查诊断手段的问题，开展新型颜色色调识别材料研究，探讨基于智能终端的可视化定量免疫层析平台的原理及关键技术，开发精准高敏的人畜共患病快检平台，满足去仪器化现场筛查及家庭自检等需求。</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7.地方猪种重要经济性状的遗传解析与调控机理研究（申请代码1选择C17的下属代码）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针对广西地方猪种种质特征，解析其品质性状的遗传机理，发掘和鉴定参与性状形成的关键基因和通路，设计和筛选调控关键基因和通路的调控物，为性状调控提供理论支撑。</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8.岩溶区土壤碳库分配格局、更新及其维持机制研究（申请代码1选择D01、D03或 D07的下属代码)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针对广西岩溶区分布面积广、岩溶生境异质性强等特征，研究岩溶区生态系统土壤碳库分配格局、更新及其维持机制，阐明土壤有机碳的来源及其积累和稳定规律，揭示植被和生态恢复条件下岩溶土壤碳库动态变化及其对岩溶碳汇的影响，为广西岩溶区生态系统保护提供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9.油茶关键农艺经济性状的遗传及分子研究（申请代码1选择C16的下属代码)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广西特色油茶为研究对象，研究种质资源多样性及其遗传结构，解析重要经济性状形成机理，解决遗传背景复杂、种质亲缘关系混乱等造成的性状差异、产量不稳等问题，开展高出油率等重要经济性状候选基因的关联分析，解决油茶优良品系的早期筛选相关科学问题，开展不同生态类型的优良品系适应性研究以及分子育种，为广西特色油茶品种选育提供科学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10.广西特色中药资源品质形成影响因素及分子机制研究（申请代码1选择H32的下属代码）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广西特色药材为研究对象，开展其繁殖、遗传多样性、有效成分检测和药效学评价及药用部分发育与有效成分生物合成途径分析等机理研究，评价品种、产地生境、采收时间、加工炮制方法对有效成分的影响，探索药材有效成分构成和药效表现的规律性，解决广西特色药用植物品质形成影响因素及分子机制等相关科学问题，为广西特色药材与药用植物的规范种植、质量标准制定、种质资源保护与创新、药材资源开发及有效成分的生物合成与调控提供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以上研究方向鼓励申请人与广西壮族自治区内具有一定研究实力和研究条件的高等院校或研究机构开展合作研究。</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二、环境与生态领域</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(九）围绕广西喀斯特地区及北部湾区域生态保护、灾害预警、污染修复等方面的关键科学问题，开展相关基础研究和应用基础研究。</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重点支持项目研究方向:</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1.病原微生物的环境风险及防控机制研究（申请代码1选择C01的下属代码）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研究病原菌、抗生素抗性基因、可移动遗传元件、病毒等致病因子的高效与高通量监测与筛查技术;揭示致病微生物在养殖场和养殖水域、污水处理厂及废物处置厂、气水土等环境介质中的赋存与迁移转化机制;开展与病原微生物的危害、暴露、健康风险评价及风险防控相关的基础和应用基础研究。</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2.喀斯特矿区受污染土壤/地下水协同修复过程机制研究（申请代码1选择D01、D03或 D07的下属代码）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剖析喀斯特地区矿产开采区及周边区域土壤及地下水中典型重金属和有机污染物迁移转化过程，识别主控因子，构建土壤及地下水中污染物迁移转化模型，阐明土壤及地下水中污染物源-汇关系和调控机制，明晰污染物在喀斯特地区土壤-地下水环境中化学和微生物学转化机制;研发具有高效稳定化、降解功能的重金属和有机物污染土壤及地下水协同修复功能材料，研究不同氧化-还原环境下水-土界面污染物转化过程及影响因素，揭示土壤及地下水污染特性衰减规律,形成土壤/地下水复合污染协同修复关键技术，为喀斯特矿区受污染土壤/地下水协同修复提供理论基础和技术支持。</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3.放射性核素和重金属类污染物的监测与风险评价（申请代码1选择B04或 B06的下属代码)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研究气液态核素样品的快速制样进样技术、加速器质谱（AMS）超高灵敏度测量技术、X射线谱和﹖能谱测量技术。揭示广西典型高镉地质背景区 Cd、Se等金属的同位素组成,研究其在多介质环境的赋存、迁移转化行为、人体的内暴露和风险等相关科学问题。</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4.环北部湾海岸城市人类经济活动与城市规模相关发展研究（申请代码1选择D01 或 D06的下属代码）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结合广西北部湾独特的地理空间战略地位和海陆联合的特殊地理空间特点，研究一套针对性强、普适性高、影像质量优的夜光遥感影像数据处理方法体系;合成地面观测、夜光遥感影像、社交媒体、手机位置等多源数据，增加垂直维度变化信息，构建具有时空连续性的夜光-社会经济模型;对城市化速率进行估算，为分析研究北部湾城市群体系的空间结构和时空演化趋势提供理论支撑。</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5.北部湾近岸海域生态环境变化研究（申请代码1选择 D05、D06或 D07的下属代码)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针对北部湾近岸水环境污染及海岸带生态环境破坏和响应机制问题，结合亚热带高温高湿特殊环境特点，深入开展北部湾入海河流及近海岸水文环境变化的过程、机理研究;研究主、被动遥感及地面监测等环境要素获取和污染溯源建模方法，实现多维度海岸带生态、环境的精细监测;研究红树林湿地潮沟形态、结构类型以及红树林湿地景观生态格局演化规律;开展强风暴潮作用下的养殖场灾变机理研究，为北部湾近岸海域生态保护提供科学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6.海洋有害生物爆发机理及预测预警相关科学问题研究（申请代码1选择D6或D07的下属代码）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广西近岸重点海洋功能区为研究对象，针对人类活动及全球变化等多重压力下海洋有害生物爆发及致灾机理等关键科学问题，开展有害生物种群爆发机制、风险评估和预测预警关键技术研究，为提升海洋生态功能区的生态功能提供理论支撑。</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7.广西亚热带典型岩溶碳汇过程及调控机制研究（申请代码1选择DO1、D03、D05或D07的下属代码）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广西亚热带典型岩溶特色地貌为研究对象，开展典型流域气候变化过程中水热组合的研究;开展碳酸盐风化碳汇特征、过程及其物理、化学和生物控制机理研究;评估陆地水生光合生物产生内源有机碳的效率，以及石漠化治理与土地利用配置调控岩石风化碳汇的潜力，为北部湾区域可持续发展和流域科学管理提供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8.漓江流域生态系统服务功能和生态安全演变机理研究（申请代码1选择DO1或D07的下属代码)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针对漓江流域生态系统服务功能和生态安全格局演变等关键科学问题，研究流域生态服务流的形成机制、影响范围和转移机制以及流域生态安全格局形成、演变及影响机理;开展基于漓江流域空天地多源观测数据建立高精度数字高程模型研究，构建不同地理单元的灾害风险等级评估方法，为广西典型流域生态安全格局重构与风险评估及地质灾害预警提供科学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9.典型海洋生态系统连通性特征及调控机理研究（申请代码1选择C03的下属代码）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北部湾特定生物物种和典型海洋生态系统为研究对象，针对多重压力下特定生物物种生活史策略改变、典型海洋生态系统重构等关键科学问题，开展生物物种生活史、遗传学和致危因素研究，以及海洋生态系统连通性、景观生态格局和演变机理研究，为提升北部湾典型海洋生态系统生态功能和整体保护能力提供科学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以上研究方向鼓励申请人与广西壮族自治区内具有一定研究实力和研究条件的高等院校或研究机构开展合作研究。</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四、新材料与先进制造领域</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(十四）围绕广西特色优势金属资源，针对新型纳米材料、陶瓷材料、热电材料、能源材料与器材等方面的关键科学问题，开展相关基础研究和应用基础研究。</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重点支持项目研究方向:</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1.肿瘤诊疗新方法与新材料的相关科学问题（申请代码1选择EO1、E02、E03、E06或E13的下属代码)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以发展先进肿瘤诊断、治疗技术为目标，研究高效诱导产生肿瘤细胞免疫原性死亡（ ICD)的新型材料;研究与光热、光动力治疗剂相结合治疗肿瘤的新理论和新方法;研究新型药物载体用材料、诊疗一体化纳米材料，为肿瘤治疗技术的发展提供理论依据。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2.新型高性能陶瓷材料相关科学问题及其应用基础研究（申请代码1选择EO2或E13的下属代码)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针对广西汽车、机电及电子通信等产业发展需求，开展新型高性能陶瓷材料的设计制备、性能调控及应用研究。解决钛酸铋钠（NBT)陶瓷迟滞大、温度稳定性差及致动器裂纹与击穿失效等难题，研究稀土改性NBT基陶瓷局域结构、压电致动器多维序构、介点温度稳定性、应变性能调控及力电热多场耦合疲劳失效机理。研究尖晶石体系的高频介质陶瓷材料设计、可控制备与结构性能调控，重点突破介质陶瓷在高频的超低损耗化与超低介电常数化、及其高频谐振器/滤波器应用的瓶颈，同时解决高频性能评价的关键科学问题。</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3.新型热电材料及器件相关科学问题研究（申请代码1选择EO1、EO2或E13的下属代码）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利用广西丰富的有色金属资源，设计制备低中温温区平均热电优值不低于1的热电薄膜材料及器件，探索新型热电薄膜制备工艺，研究热电输运新机理及新理论，优化热电材料的器件性能，研究提升相关材料及器件热电性能的物理机理，解决器件供电与制冷材料相关的关键科学问题。</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4．高效新型太阳能电池的共性基础问题研究（申请代码1选择EO2或E13的下属代码)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结合广西钢、家、锡等优势特色矿产资源优势，开展具有高效转换特性的铜锢家硒薄膜新型太阳能电池的共性基础问题研究，建立多结高效电池研究模型，获取新型多结薄膜太阳能电池多界面能级匹配;通过多关联参数的耦合调控，为设计转换效率高、性能特性稳定、器件结构新颖、具有应用前景的新型高效薄膜太阳能电池提供科学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5.桂中坳陷下石炭统页岩气差异富集机理研究（申请代码1选择EO4的下属代码)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桂中坳陷下石炭统富有机质页岩为研究对象，针对页岩气富集与贫化差异明显等问题，开展富有机质页岩沉积、微观孔隙及其控制因素、页岩气富集和保存条件、页岩的碳酸盐岩顶底板条件等研究，揭示页岩气差异富集机理，为桂中页岩气勘探提供科学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6.高性能ITO旋转靶材制备关键技术（申请代码1选择EO2或E13的下属代码）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立足广西特色优势锢锡资源，开展ITO旋转靶材制备关键技术应用基础研究，开展面向高世代、长节距ITO旋转靶材的粉体成型堆积理论、烧结致密化机理及微观结构调控研究，解决超高密度ITO靶材成型难、烧结致密化过程复杂、微观结构调控困难等问题，为高品质ITO旋转靶材的制造和应用提供科学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以上研究方向鼓励申请人与广西壮族自治区内具有一定研究实力和研究条件的高等院校或研究机构开展合作研究。</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六、电子信息领域</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(十二）围绕广西打造信息技术产业创新发展名片的战略需求，针对多民族大数据、光电信息处理、北部湾海洋传感器等方面的关键科学问题，开展相关基础研究和应用基础研究。</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重点支持项目研究方向:</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1.多民族行业领域多样化数据安全聚合与智能计算方法研究（申请代码1选择FO2的下属代码)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具有广西区域多民族特色的行业领域多源大数据为研究对象，开展数据安全聚合与协同智能计算的理论与技术研究，研究行业领域大数据安全融合利用及多民族语言协同智能处理等技术，支持分布式数据资源协同机器学习和跨领域知识图谱融合与动态演化，支持行业领域多目标融合的智能资源应用，解决行业领域智能应用中高效计算下的数据安全和隐私保护的关键科学问题。</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2.基于光栅干涉仪的大行程多维测量与校准方法理论研究（申请代码1选择FO5的下属代码)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针对高精度超复杂被测目标特征，开展大行程多维光栅干涉测量方法研究，建立基于光栅干涉仪的大行程多维测量的理论模型;针对大行程测量中光栅拼接与光棚干涉仪切换问题建立动态误差模型;研究大行程光棚干涉测量误差的影响机理及校准方法;解决大行程高精度多维测量中误差建模、误差修正、误差分配等关键科学技术问题，为大行程多维光棚干涉测量技术的研究与应用提供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3.海洋环境多参量一体化监测相关科学问题研究（申请代码1选择F01的下属代码)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围绕广西在北部湾海洋环境监测领域的发展需求，开展海洋环境多参量监测技术基础研究。开展海洋环境温度、盐度、深度、磁场等多参量传感技术的研究，解决多传感器组网集成及海、天、地协同通信等关键科学技术问题。开展便于海洋环境多参量一体化传感检测保障的传感器机理及信息协同传输机理研究，为面向北部湾区域的“海上物联网”快速组网监测系统建设提供理论依据与技术储备。</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4.快速高灵敏新冠病毒检测光电传感器关键科学问题研究（申请代码1选择 FO5的下属代码)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基于新冠病毒全球化和时间持续化的趋势，针对快速、高灵敏度检测空气飞沫中新冠病毒的需求，探索新冠病毒与探针结合信息到可识别光电信息的转换机理，针对高灵敏度、高特异性的生物探针设计及固定方法、生物光电信息的转换机制、光电信息的准确识别等关键科学技术问题开展研究，为新冠病毒的快速高灵敏光电检测提供理论依据。</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以上研究方向鼓励申请人与广西壮族自治区内具有一定研究实力和研究条件的高等院校或研究机构开展合作研究。</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七、人口与健康领域</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(十四）围绕广西常见重大疾病预防、诊治等方面的关键科学问题，开展相关基础研究和应用基础研究。</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重点支持项目研究方向:</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1.基于类器官培养的抗肿瘤候选药用分子精准筛选和一致性评估体系的建立及相关研究（申请代码1选择H18或H35的下属代码)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以类器官培养物为主要筛选对象，建立抗肿瘤药物的类器官筛选平台，在细胞和组织水平高效快速筛选肝癌、结直肠癌、乳腺癌等广西常见恶性肿瘤抗肿瘤药物，研究个体耐药机制,解决当前肿瘤精准医疗中面临的关键瓶颈科学问题。</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2.冠心病/脑卒中遗传易感位点和免疫微环境研究（申请代码1选择 HO2的下属代码）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利用广西丰富的冠心病/脑卒中临床资源和实验动物资源，建设冠心病/脑卒中样本资源库，构建疾病预测模型、实验动物模型、药物预测和疗效模型、疾病-药物化学成分-靶标作用数据库、疾病信号通路-药物成分网络相互作用数据库网络，开展冠心病/脑卒中遗传易感位点和免疫微环境研究。</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3.代谢性疾病发生、发展过程中神经鞘脂代谢紊乱的机制研究（申请代码1选择H07的下属代码）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针对肝病、糖尿病及肥胖等代谢性疾病中神经鞘脂代谢紊乱，建立神经鞘脂类脂质组学多重检测诊断技术;围绕神经鞘脂代谢与相关疾病关系，阐明神经鞘脂代谢紊乱在代谢性疾病中发生发展的调控机制，为确定有效治疗靶点和临床药物奠定理论基础。</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4．细胞转分化在神经退行性疾病及脊髓损伤神经修复中的应用基础研究（申请代码1选择H09的下属代码）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利用细胞转分化技术，结合帕金森病猴模型研究新生神经元的神经环路特性及其对神经退行性疾病及脊髓损伤的修复作用。</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5．鼻咽癌病因及发病机制与防治研究（申请代码1选择H18的下属代码)</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建立并完善鼻咽癌研究的动物模型，探讨鼻咽癌发病机制，寻找放射抵抗的干预靶点，探索新的鼻咽癌放疗增敏方案;建立基于鼻咽癌肿瘤生物学机制的广西特色中草药干预系统，解决鼻咽癌临床防治的关键科学问题。</w:t>
      </w:r>
    </w:p>
    <w:p>
      <w:pPr>
        <w:widowControl/>
        <w:shd w:val="clear" w:color="auto" w:fill="FFFFFF"/>
        <w:adjustRightInd w:val="0"/>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以上研究方向鼓励申请人与广西壮族自治区内具有一定研究实力和研究条件的高等院校或研究机构开展合作研究。</w:t>
      </w:r>
    </w:p>
    <w:p>
      <w:pPr>
        <w:widowControl/>
        <w:shd w:val="clear" w:color="auto" w:fill="FFFFFF"/>
        <w:adjustRightInd w:val="0"/>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688"/>
    <w:rsid w:val="00083497"/>
    <w:rsid w:val="00090C8D"/>
    <w:rsid w:val="002223C9"/>
    <w:rsid w:val="002566D9"/>
    <w:rsid w:val="002801F6"/>
    <w:rsid w:val="00280E1C"/>
    <w:rsid w:val="00295C3E"/>
    <w:rsid w:val="002F74F8"/>
    <w:rsid w:val="00315640"/>
    <w:rsid w:val="0032755E"/>
    <w:rsid w:val="0033287A"/>
    <w:rsid w:val="00343F17"/>
    <w:rsid w:val="0034625E"/>
    <w:rsid w:val="00347669"/>
    <w:rsid w:val="00354B1C"/>
    <w:rsid w:val="003553C1"/>
    <w:rsid w:val="00373FAD"/>
    <w:rsid w:val="003D2244"/>
    <w:rsid w:val="003F22B1"/>
    <w:rsid w:val="00532688"/>
    <w:rsid w:val="005A42F2"/>
    <w:rsid w:val="006320BF"/>
    <w:rsid w:val="006D3658"/>
    <w:rsid w:val="007122EE"/>
    <w:rsid w:val="007B4B67"/>
    <w:rsid w:val="007E7669"/>
    <w:rsid w:val="007E79F4"/>
    <w:rsid w:val="008A4BF2"/>
    <w:rsid w:val="009217BA"/>
    <w:rsid w:val="009662EE"/>
    <w:rsid w:val="00A415E6"/>
    <w:rsid w:val="00A4435C"/>
    <w:rsid w:val="00AF68D4"/>
    <w:rsid w:val="00B336A1"/>
    <w:rsid w:val="00B417E6"/>
    <w:rsid w:val="00B830EB"/>
    <w:rsid w:val="00BC0960"/>
    <w:rsid w:val="00BE3FE4"/>
    <w:rsid w:val="00C77797"/>
    <w:rsid w:val="00C825AC"/>
    <w:rsid w:val="00D36980"/>
    <w:rsid w:val="00D76B19"/>
    <w:rsid w:val="00ED1909"/>
    <w:rsid w:val="00F020C3"/>
    <w:rsid w:val="00F75BDB"/>
    <w:rsid w:val="00F85252"/>
    <w:rsid w:val="00FA64E2"/>
    <w:rsid w:val="590B17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uiPriority w:val="99"/>
    <w:rPr>
      <w:color w:val="0000FF"/>
      <w:u w:val="single"/>
    </w:rPr>
  </w:style>
  <w:style w:type="character" w:customStyle="1" w:styleId="9">
    <w:name w:val="标题 1 Char"/>
    <w:basedOn w:val="7"/>
    <w:link w:val="2"/>
    <w:uiPriority w:val="9"/>
    <w:rPr>
      <w:rFonts w:ascii="宋体" w:hAnsi="宋体" w:eastAsia="宋体" w:cs="宋体"/>
      <w:b/>
      <w:bCs/>
      <w:kern w:val="36"/>
      <w:sz w:val="48"/>
      <w:szCs w:val="48"/>
    </w:rPr>
  </w:style>
  <w:style w:type="character" w:customStyle="1" w:styleId="10">
    <w:name w:val="normal105"/>
    <w:basedOn w:val="7"/>
    <w:uiPriority w:val="0"/>
  </w:style>
  <w:style w:type="character" w:customStyle="1" w:styleId="11">
    <w:name w:val="页眉 Char"/>
    <w:basedOn w:val="7"/>
    <w:link w:val="4"/>
    <w:uiPriority w:val="99"/>
    <w:rPr>
      <w:sz w:val="18"/>
      <w:szCs w:val="18"/>
    </w:rPr>
  </w:style>
  <w:style w:type="character" w:customStyle="1" w:styleId="12">
    <w:name w:val="页脚 Char"/>
    <w:basedOn w:val="7"/>
    <w:link w:val="3"/>
    <w:uiPriority w:val="99"/>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1081</Words>
  <Characters>6163</Characters>
  <Lines>51</Lines>
  <Paragraphs>14</Paragraphs>
  <TotalTime>59</TotalTime>
  <ScaleCrop>false</ScaleCrop>
  <LinksUpToDate>false</LinksUpToDate>
  <CharactersWithSpaces>7230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2021-01-16T00:48:00Z</dcterms:created>
  <dc:creator>a</dc:creator>
  <cp:lastModifiedBy>蒙敏</cp:lastModifiedBy>
  <dcterms:modified xsi:type="dcterms:W3CDTF">2021-01-16T09:58:31Z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