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sz w:val="24"/>
        </w:rPr>
      </w:pPr>
      <w:r>
        <w:rPr>
          <w:rFonts w:hint="eastAsia" w:ascii="华文中宋" w:hAnsi="华文中宋" w:eastAsia="华文中宋"/>
          <w:sz w:val="30"/>
          <w:szCs w:val="30"/>
        </w:rPr>
        <w:t>广西师范大学</w:t>
      </w:r>
      <w:r>
        <w:rPr>
          <w:rFonts w:hint="eastAsia" w:ascii="华文中宋" w:hAnsi="华文中宋" w:eastAsia="华文中宋"/>
          <w:sz w:val="30"/>
          <w:szCs w:val="30"/>
          <w:lang w:val="en-US" w:eastAsia="zh-CN"/>
        </w:rPr>
        <w:t>2021</w:t>
      </w:r>
      <w:r>
        <w:rPr>
          <w:rFonts w:hint="eastAsia" w:ascii="华文中宋" w:hAnsi="华文中宋" w:eastAsia="华文中宋"/>
          <w:sz w:val="30"/>
          <w:szCs w:val="30"/>
        </w:rPr>
        <w:t>年二级学院（部）本科教学工作绩效考核自评表</w:t>
      </w:r>
    </w:p>
    <w:p>
      <w:pPr>
        <w:jc w:val="left"/>
        <w:rPr>
          <w:rFonts w:ascii="楷体" w:hAnsi="楷体" w:eastAsia="楷体"/>
          <w:b/>
          <w:sz w:val="24"/>
        </w:rPr>
      </w:pPr>
    </w:p>
    <w:p>
      <w:pPr>
        <w:jc w:val="left"/>
        <w:rPr>
          <w:rFonts w:ascii="楷体" w:hAnsi="楷体" w:eastAsia="楷体"/>
          <w:b/>
          <w:sz w:val="24"/>
        </w:rPr>
      </w:pPr>
      <w:r>
        <w:rPr>
          <w:rFonts w:hint="eastAsia" w:ascii="楷体" w:hAnsi="楷体" w:eastAsia="楷体"/>
          <w:b/>
          <w:sz w:val="24"/>
        </w:rPr>
        <w:t xml:space="preserve">单位名称（盖章）：                        填报人：                  主要负责人签字：                         </w:t>
      </w:r>
    </w:p>
    <w:p>
      <w:pPr>
        <w:jc w:val="right"/>
        <w:rPr>
          <w:rFonts w:ascii="楷体" w:hAnsi="楷体" w:eastAsia="楷体"/>
          <w:b/>
          <w:sz w:val="24"/>
        </w:rPr>
      </w:pPr>
      <w:r>
        <w:rPr>
          <w:rFonts w:hint="eastAsia" w:ascii="楷体" w:hAnsi="楷体" w:eastAsia="楷体"/>
          <w:b/>
          <w:sz w:val="24"/>
        </w:rPr>
        <w:t>满分：100分</w:t>
      </w:r>
    </w:p>
    <w:tbl>
      <w:tblPr>
        <w:tblStyle w:val="4"/>
        <w:tblW w:w="148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548"/>
        <w:gridCol w:w="3969"/>
        <w:gridCol w:w="6781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一级指标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二级指标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主要观测点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分值说明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自评分数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9" w:hRule="atLeast"/>
          <w:jc w:val="center"/>
        </w:trPr>
        <w:tc>
          <w:tcPr>
            <w:tcW w:w="141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立德树人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情况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（20分）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课程思政建设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（10分）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1.制定有课程思政建设规划和实施方案（2分）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2.建设有课程思政示范课程（4分）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3.培育有课程思政示范课堂（4分）</w:t>
            </w:r>
          </w:p>
          <w:p>
            <w:pPr>
              <w:spacing w:line="340" w:lineRule="exact"/>
              <w:rPr>
                <w:rFonts w:hint="default" w:ascii="楷体" w:hAnsi="楷体" w:eastAsia="楷体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1.提供佐证材料说明。有规划、有方案，计2分；有规划、无方案，计1分；无规划、无方案，计0分。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2.由教务处核实。建设有课程思政示范课程4门（含）以上，计4分；建设3门，计3分；建设2门，计2分；建设1门，计1分；无建设，计0分。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3.提供课程思政教学案例、紧扣课程思政主题的微课视频、示范公开课文字及照片资料、集体备课或教学研讨会记录、其他教学活动文字及照片资料等佐证材料说明。培育</w:t>
            </w:r>
            <w:r>
              <w:rPr>
                <w:rFonts w:ascii="楷体" w:hAnsi="楷体" w:eastAsia="楷体"/>
                <w:sz w:val="22"/>
              </w:rPr>
              <w:t>课程思政示范课堂</w:t>
            </w:r>
            <w:r>
              <w:rPr>
                <w:rFonts w:hint="eastAsia" w:ascii="楷体" w:hAnsi="楷体" w:eastAsia="楷体"/>
                <w:sz w:val="22"/>
              </w:rPr>
              <w:t>4门（含）以上计4分；培育3门，计3分；培育2门，计2分；培育1门，计1分；无培育，计0分。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师德师风建设（10分）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在本科教学过程中未出现违反国家各项法律法规的规定、师德师风要求、进行宗教渗透、教学事故等情况（10分）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由教师工作部和教务处核实。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未出现，计10分；出现1次（含）以上，计0分。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领导重视本科教育情况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（14分）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院长专题会议（8分）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学院（部）领导班子专题研究本科教育工作的次数（8分）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提供会议纪要等支撑材料说明。每召开一次专题会议，计1分。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领导干部听课（6分）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学院（部）领导班子成员听课次数（6分）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该指标观测点限定为2020-2021学年。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以学校“教学质量综合评价与分析系统”中听课次数为准。达到学校规定的听课次数标准，计6分；不达标，计0分。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本科教育改革创新情况</w:t>
            </w:r>
          </w:p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（24分）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小班授课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专业课中40人及以下课堂数占比（%）（2分）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该指标观测点限定为2020-2021学年。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由教务处核实。占比30%（含）以上，计2分；占比20%（含）以上，计1分；占比10%（含）以上，计0.5分；占比10%以下，计0分。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混合式教学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进行混合式教学的课程数（4分）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该指标观测点限定为2020-2021学年。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提供佐证材料说明。混合式教学课程是指整门课程有整体教学设计，即课程哪一部分适合引入在线开放课程，哪一部分需要进行线下开展翻转课堂等。4门（含）以上，计4分；3门，计3分；2门，计2分；1门，计1分；无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学生学业管理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开展本科生学业警示及帮扶的力度和效果（2分）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由教务处</w:t>
            </w:r>
            <w:r>
              <w:rPr>
                <w:rFonts w:hint="eastAsia" w:ascii="楷体" w:hAnsi="楷体" w:eastAsia="楷体"/>
                <w:sz w:val="22"/>
              </w:rPr>
              <w:t>核实。</w:t>
            </w:r>
            <w:r>
              <w:rPr>
                <w:rFonts w:ascii="楷体" w:hAnsi="楷体" w:eastAsia="楷体"/>
                <w:sz w:val="22"/>
              </w:rPr>
              <w:t>学业警示及帮扶专项检查通过者</w:t>
            </w:r>
            <w:r>
              <w:rPr>
                <w:rFonts w:hint="eastAsia" w:ascii="楷体" w:hAnsi="楷体" w:eastAsia="楷体"/>
                <w:sz w:val="22"/>
              </w:rPr>
              <w:t>，</w:t>
            </w:r>
            <w:r>
              <w:rPr>
                <w:rFonts w:ascii="楷体" w:hAnsi="楷体" w:eastAsia="楷体"/>
                <w:sz w:val="22"/>
              </w:rPr>
              <w:t>计</w:t>
            </w:r>
            <w:r>
              <w:rPr>
                <w:rFonts w:hint="eastAsia" w:ascii="楷体" w:hAnsi="楷体" w:eastAsia="楷体"/>
                <w:sz w:val="22"/>
              </w:rPr>
              <w:t>2分；专项检查未通过，但限期整改完成者，计1分；专项检查未通过，且整改未完成者，计0分。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学生外出交流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到国（境）外交流学习的本科生人数（4分）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该指标观测点限定为2020-2021学年。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以本科教学状态采集数据为准。年度交流10人（含）以上，计4分；5人（含）以上，计3分；2人（含）以上，计2分；1人，计1分；无，计0分。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教学改革立项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获校级以上高等教育教学改革立项项目数量（4分）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由教务处核实。年度立项4项（含）以上，计4分；立项3项，计3分；立项2项，计2分；立项1项，计1分；无，计0分。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专业人才培养方案制定执行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1.及时准确完成教学计划、毕业要求录入（1分）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2.完成学期开课计划且无课程异动（3分）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3.毕业要求无异动（1分）；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4.课程生成成绩后教学计划无异动（1分）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该指标观测点限定为2020-2021学年。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1.由教务处核实。及时准确完成教学计划、毕业要求录入，计1分；未按规定完成，计0分。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由教务处核实。完成学期开课计划且无课程异动，计3分；教学计划异动门数≤招生专业总数的1倍，计2分；招生专业总数1倍＜教学计划异动门数≤招生专业总数2倍，计1分；教学计划异动门数＞招生专业总数的2倍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3.由教务处核实。毕业要求无异动，计1分；异动1次以上，计0分。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4.由教务处核实。课程生成成绩后修改（异动）教学计划，每门课程扣0.5分，扣完1分止。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教师指导学生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参与指导本科生学科竞赛、大创项目等活动的教师占本学院（部）专任教师总数的比例（2分）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提供佐证材料。参与指导的教师数占比30%（含）以上，计2分；占比20%（含）以上，计1分；占比10%（含）以上，计0.5分；占比10%以下，计0分。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141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师资队伍建设情况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（20分）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生师比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学院（部）生师比达到国家办学条件要求的18/1（4分）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该指标观测点限定为2020-2021学年。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以本科教学状态采集数据为准。生师比达到18/1（含）以上，计4分；达到19/1（含）以上，计3分；达到20/1（含）以上，计2分；达到21/1（含）以上，计1分；低于21/1，计0分。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FF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高级职称教师给本科生授课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学年内主讲本科生课程的副高级以上职称专任教师授课比例达到100%（6分）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该指标观测点限定为2020-2021学年。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由教务处核实，因外出访学、生病等特殊情况教师不纳入统计。副高级以上专任教师全员给本科生授课者，计6分；不达标，计0分。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基层教学组织（4分）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1.学院（部）对基层教学组织（教研室）建设有规划、有方案（2分）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2.学院（部）基层教学组织（教研室）每学期组织开展教学会议或活动不少于4次（2分）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该指标观测点限定为2020-2021学年。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1.提供佐证材料说明。有规划、有方案，计2分；有规划、无方案，计1分；无规划、无方案，计0分。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2.提供佐证材料说明。每学期组织开展教学会议或活动4次（含）以上者，计2分；不达标，计0分。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ascii="楷体" w:hAnsi="楷体" w:eastAsia="楷体"/>
                <w:b/>
                <w:sz w:val="22"/>
              </w:rPr>
              <w:t>教师教学能力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 校级教学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督导</w:t>
            </w:r>
            <w:r>
              <w:rPr>
                <w:rFonts w:hint="eastAsia" w:ascii="楷体" w:hAnsi="楷体" w:eastAsia="楷体"/>
                <w:sz w:val="22"/>
              </w:rPr>
              <w:t>评价结果（3分）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 学生评教结果（3分）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该指标观测点限定为2020-2021学年。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1.以学校“教学质量综合评价与分析系统”为准。评价结果优良率在90%（含）以上，计3分；优良率在80%（含）以上，计2分；优良率在70%（含）以上，计1分；优良率在70%以下，计0分。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2.以学校“教学质量综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sz w:val="22"/>
              </w:rPr>
              <w:t>合评价与分析系统”为准。评教结果优秀率在90%（含）以上，计3分；优秀率在80%（含）以上，计2分；优秀率在70%（含）以上，计1分；优秀率在70%以下，计0分。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  <w:jc w:val="center"/>
        </w:trPr>
        <w:tc>
          <w:tcPr>
            <w:tcW w:w="141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本科教育工作成效情况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（22分）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ascii="楷体" w:hAnsi="楷体" w:eastAsia="楷体"/>
                <w:b/>
                <w:sz w:val="22"/>
              </w:rPr>
              <w:t>教学质量保障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</w:t>
            </w:r>
            <w:r>
              <w:rPr>
                <w:rFonts w:ascii="楷体" w:hAnsi="楷体" w:eastAsia="楷体"/>
                <w:sz w:val="22"/>
              </w:rPr>
              <w:t>制定有学院</w:t>
            </w:r>
            <w:r>
              <w:rPr>
                <w:rFonts w:hint="eastAsia" w:ascii="楷体" w:hAnsi="楷体" w:eastAsia="楷体"/>
                <w:sz w:val="22"/>
              </w:rPr>
              <w:t>（部）教学</w:t>
            </w:r>
            <w:r>
              <w:rPr>
                <w:rFonts w:ascii="楷体" w:hAnsi="楷体" w:eastAsia="楷体"/>
                <w:sz w:val="22"/>
              </w:rPr>
              <w:t>质量保障制度</w:t>
            </w:r>
            <w:r>
              <w:rPr>
                <w:rFonts w:hint="eastAsia" w:ascii="楷体" w:hAnsi="楷体" w:eastAsia="楷体"/>
                <w:sz w:val="22"/>
              </w:rPr>
              <w:t>（2分）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2.建立有学</w:t>
            </w:r>
            <w:r>
              <w:rPr>
                <w:rFonts w:ascii="楷体" w:hAnsi="楷体" w:eastAsia="楷体"/>
                <w:sz w:val="22"/>
              </w:rPr>
              <w:t>院</w:t>
            </w:r>
            <w:r>
              <w:rPr>
                <w:rFonts w:hint="eastAsia" w:ascii="楷体" w:hAnsi="楷体" w:eastAsia="楷体"/>
                <w:sz w:val="22"/>
              </w:rPr>
              <w:t>（部）</w:t>
            </w:r>
            <w:r>
              <w:rPr>
                <w:rFonts w:ascii="楷体" w:hAnsi="楷体" w:eastAsia="楷体"/>
                <w:sz w:val="22"/>
              </w:rPr>
              <w:t>教学质量常态监测机制</w:t>
            </w:r>
            <w:r>
              <w:rPr>
                <w:rFonts w:hint="eastAsia" w:ascii="楷体" w:hAnsi="楷体" w:eastAsia="楷体"/>
                <w:sz w:val="22"/>
              </w:rPr>
              <w:t>和主要教学环节质量标准（2分）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3.参与同行评价的专任教师占本学院（部）专任教师总数的比例（2分）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该指标观测点限定为2020-2021学年。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1.提供佐证材料说明。制定有学院（部）</w:t>
            </w:r>
            <w:r>
              <w:rPr>
                <w:rFonts w:ascii="楷体" w:hAnsi="楷体" w:eastAsia="楷体"/>
                <w:sz w:val="22"/>
              </w:rPr>
              <w:t>质量保障制度</w:t>
            </w:r>
            <w:r>
              <w:rPr>
                <w:rFonts w:hint="eastAsia" w:ascii="楷体" w:hAnsi="楷体" w:eastAsia="楷体"/>
                <w:sz w:val="22"/>
              </w:rPr>
              <w:t>，</w:t>
            </w:r>
            <w:r>
              <w:rPr>
                <w:rFonts w:ascii="楷体" w:hAnsi="楷体" w:eastAsia="楷体"/>
                <w:sz w:val="22"/>
              </w:rPr>
              <w:t>计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sz w:val="22"/>
              </w:rPr>
              <w:t>分；无，计0分。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2.须提供佐证材料说明。建立有学</w:t>
            </w:r>
            <w:r>
              <w:rPr>
                <w:rFonts w:ascii="楷体" w:hAnsi="楷体" w:eastAsia="楷体"/>
                <w:sz w:val="22"/>
              </w:rPr>
              <w:t>院</w:t>
            </w:r>
            <w:r>
              <w:rPr>
                <w:rFonts w:hint="eastAsia" w:ascii="楷体" w:hAnsi="楷体" w:eastAsia="楷体"/>
                <w:sz w:val="22"/>
              </w:rPr>
              <w:t>（部）</w:t>
            </w:r>
            <w:r>
              <w:rPr>
                <w:rFonts w:ascii="楷体" w:hAnsi="楷体" w:eastAsia="楷体"/>
                <w:sz w:val="22"/>
              </w:rPr>
              <w:t>教学质量常态监测机制和主</w:t>
            </w:r>
            <w:r>
              <w:rPr>
                <w:rFonts w:hint="eastAsia" w:ascii="楷体" w:hAnsi="楷体" w:eastAsia="楷体"/>
                <w:sz w:val="22"/>
              </w:rPr>
              <w:t>要教学环节质量标准，</w:t>
            </w:r>
            <w:r>
              <w:rPr>
                <w:rFonts w:ascii="楷体" w:hAnsi="楷体" w:eastAsia="楷体"/>
                <w:sz w:val="22"/>
              </w:rPr>
              <w:t>计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sz w:val="22"/>
              </w:rPr>
              <w:t>分；无，计0分。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3.以学校“教学质量综合评价与分析系统”为准。参与同行评价的教师数占比达100%，计2分；占比90%（含）以上，计1.5分；占比80%（含）以上，计1分；占比70%（含）以上，计0.5分；占比70%以下，计0分。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ascii="楷体" w:hAnsi="楷体" w:eastAsia="楷体"/>
                <w:b/>
                <w:sz w:val="22"/>
              </w:rPr>
              <w:t>专业建设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</w:t>
            </w:r>
            <w:r>
              <w:rPr>
                <w:rFonts w:ascii="楷体" w:hAnsi="楷体" w:eastAsia="楷体"/>
                <w:sz w:val="22"/>
              </w:rPr>
              <w:t>入选自治区级及以上一流本科专业</w:t>
            </w:r>
            <w:r>
              <w:rPr>
                <w:rFonts w:hint="eastAsia" w:ascii="楷体" w:hAnsi="楷体" w:eastAsia="楷体"/>
                <w:sz w:val="22"/>
              </w:rPr>
              <w:t>“双万计划”的专业数量（2分）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2.通过专业认证（评估）的专业数量（2分）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</w:t>
            </w:r>
            <w:r>
              <w:rPr>
                <w:rFonts w:ascii="楷体" w:hAnsi="楷体" w:eastAsia="楷体"/>
                <w:sz w:val="22"/>
              </w:rPr>
              <w:t>由教务处</w:t>
            </w:r>
            <w:r>
              <w:rPr>
                <w:rFonts w:hint="eastAsia" w:ascii="楷体" w:hAnsi="楷体" w:eastAsia="楷体"/>
                <w:sz w:val="22"/>
              </w:rPr>
              <w:t>核实，仅限当年新增，当年均无，均不得分。入选国家级2个专业（含）以上，计2分（教学单位只有1个专业的且成功入选的直接计2分）；入选国家级1个专业，计1.5分；入选自治区级2个专业（含）以上，计1分（教学单位只有1个专业的且成功入选的直接计1分）；入选自治区级1个专业，计0.5分；无入选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</w:t>
            </w:r>
            <w:r>
              <w:rPr>
                <w:rFonts w:ascii="楷体" w:hAnsi="楷体" w:eastAsia="楷体"/>
                <w:sz w:val="22"/>
              </w:rPr>
              <w:t>由教务处</w:t>
            </w:r>
            <w:r>
              <w:rPr>
                <w:rFonts w:hint="eastAsia" w:ascii="楷体" w:hAnsi="楷体" w:eastAsia="楷体"/>
                <w:sz w:val="22"/>
              </w:rPr>
              <w:t>核实，仅限当年新增，当年均无，均不得分。通过专业认证（评估）2个专业（含）以上，计2分（教学单位只有1个专业的且成功入选的直接计2分）；通过1个专业，计1分；无通过，计0分。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ascii="楷体" w:hAnsi="楷体" w:eastAsia="楷体"/>
                <w:b/>
                <w:sz w:val="22"/>
              </w:rPr>
              <w:t>课程建设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入选自治区级及以上一流本科</w:t>
            </w:r>
            <w:r>
              <w:rPr>
                <w:rFonts w:hint="eastAsia" w:ascii="楷体" w:hAnsi="楷体" w:eastAsia="楷体"/>
                <w:sz w:val="22"/>
              </w:rPr>
              <w:t>课程“双万计划”的课程数量（4分）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由教务处</w:t>
            </w:r>
            <w:r>
              <w:rPr>
                <w:rFonts w:hint="eastAsia" w:ascii="楷体" w:hAnsi="楷体" w:eastAsia="楷体"/>
                <w:sz w:val="22"/>
              </w:rPr>
              <w:t>核实，仅限当年新增，当年均无，均不得分。入选国家级5门课程（含）以上，计4分；入选国家级3门课程（含）以上，计3分；入选国家级1门课程（含）以上，计2.5分；入选自治区级5门课程（含）以上，计2分；入选自治区级3门课程（含）以上，计1.5分；入选自治区级1门课程（含）以上，计1分；无入选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教学</w:t>
            </w:r>
            <w:r>
              <w:rPr>
                <w:rFonts w:ascii="楷体" w:hAnsi="楷体" w:eastAsia="楷体"/>
                <w:b/>
                <w:sz w:val="22"/>
              </w:rPr>
              <w:t>成果奖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获得校级及以上高等教育教学成果奖的数量</w:t>
            </w:r>
            <w:r>
              <w:rPr>
                <w:rFonts w:hint="eastAsia" w:ascii="楷体" w:hAnsi="楷体" w:eastAsia="楷体"/>
                <w:sz w:val="22"/>
              </w:rPr>
              <w:t>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由教务处</w:t>
            </w:r>
            <w:r>
              <w:rPr>
                <w:rFonts w:hint="eastAsia" w:ascii="楷体" w:hAnsi="楷体" w:eastAsia="楷体"/>
                <w:sz w:val="22"/>
              </w:rPr>
              <w:t>核实，仅限当年，当年均无，均不得分。获国家级</w:t>
            </w:r>
            <w:r>
              <w:rPr>
                <w:rFonts w:ascii="楷体" w:hAnsi="楷体" w:eastAsia="楷体"/>
                <w:sz w:val="22"/>
              </w:rPr>
              <w:t>高等教育</w:t>
            </w:r>
            <w:r>
              <w:rPr>
                <w:rFonts w:hint="eastAsia" w:ascii="楷体" w:hAnsi="楷体" w:eastAsia="楷体"/>
                <w:sz w:val="22"/>
              </w:rPr>
              <w:t>教学成果奖1项（含）以上，计4分；获自治区级高等教育教学成果奖3项（含）以上，计3分；获自治区级高等教育教学成果奖2项，计2.5分；获自治区级高等教育教学成果奖1项，计2分；获校级高等教育教学成果奖2项（含）以上，计1.5分，获校级高等教育教学成果奖1项，计1分；无获得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ascii="楷体" w:hAnsi="楷体" w:eastAsia="楷体"/>
                <w:b/>
                <w:sz w:val="22"/>
              </w:rPr>
              <w:t>本科生升学率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本科毕业生升学率</w:t>
            </w:r>
            <w:r>
              <w:rPr>
                <w:rFonts w:hint="eastAsia" w:ascii="楷体" w:hAnsi="楷体" w:eastAsia="楷体"/>
                <w:sz w:val="22"/>
              </w:rPr>
              <w:t>（%）（4分）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该指标观测点限定为2020-2021学年。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由学工部</w:t>
            </w:r>
            <w:r>
              <w:rPr>
                <w:rFonts w:hint="eastAsia" w:ascii="楷体" w:hAnsi="楷体" w:eastAsia="楷体"/>
                <w:sz w:val="22"/>
              </w:rPr>
              <w:t>和教务处核实。升学率在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30</w:t>
            </w:r>
            <w:r>
              <w:rPr>
                <w:rFonts w:hint="eastAsia" w:ascii="楷体" w:hAnsi="楷体" w:eastAsia="楷体"/>
                <w:sz w:val="22"/>
              </w:rPr>
              <w:t>%（含）以上，计4分；升学率在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sz w:val="22"/>
              </w:rPr>
              <w:t>%（含）以上，计3分；升学率在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20</w:t>
            </w:r>
            <w:r>
              <w:rPr>
                <w:rFonts w:hint="eastAsia" w:ascii="楷体" w:hAnsi="楷体" w:eastAsia="楷体"/>
                <w:sz w:val="22"/>
              </w:rPr>
              <w:t>%（含）以上，计2分；升学率在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15</w:t>
            </w:r>
            <w:r>
              <w:rPr>
                <w:rFonts w:hint="eastAsia" w:ascii="楷体" w:hAnsi="楷体" w:eastAsia="楷体"/>
                <w:sz w:val="22"/>
              </w:rPr>
              <w:t>%（含）以上，计1分；升学率在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15</w:t>
            </w:r>
            <w:r>
              <w:rPr>
                <w:rFonts w:hint="eastAsia" w:ascii="楷体" w:hAnsi="楷体" w:eastAsia="楷体"/>
                <w:sz w:val="22"/>
              </w:rPr>
              <w:t>%以下，计0分。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</w:p>
    <w:p/>
    <w:sectPr>
      <w:foot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00896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7793"/>
    <w:rsid w:val="001F3C93"/>
    <w:rsid w:val="004B6757"/>
    <w:rsid w:val="004D2E78"/>
    <w:rsid w:val="006D313B"/>
    <w:rsid w:val="00826B46"/>
    <w:rsid w:val="00A700A8"/>
    <w:rsid w:val="00A77793"/>
    <w:rsid w:val="00B7011B"/>
    <w:rsid w:val="00C8206E"/>
    <w:rsid w:val="00CE39D5"/>
    <w:rsid w:val="00E87DF5"/>
    <w:rsid w:val="00F263D8"/>
    <w:rsid w:val="03836A76"/>
    <w:rsid w:val="0C5E37AD"/>
    <w:rsid w:val="14ED3819"/>
    <w:rsid w:val="186802BC"/>
    <w:rsid w:val="19EE2A43"/>
    <w:rsid w:val="1E1355AC"/>
    <w:rsid w:val="1FA85442"/>
    <w:rsid w:val="1FE43DE1"/>
    <w:rsid w:val="269009DE"/>
    <w:rsid w:val="2C9F0A22"/>
    <w:rsid w:val="2E642E7C"/>
    <w:rsid w:val="30BF25EC"/>
    <w:rsid w:val="35571045"/>
    <w:rsid w:val="3CBA4420"/>
    <w:rsid w:val="3E6D7B2B"/>
    <w:rsid w:val="43655677"/>
    <w:rsid w:val="46F62A3C"/>
    <w:rsid w:val="4ADF3B5F"/>
    <w:rsid w:val="4C4719BC"/>
    <w:rsid w:val="4E1A4EAE"/>
    <w:rsid w:val="5264494A"/>
    <w:rsid w:val="5557772A"/>
    <w:rsid w:val="601654D5"/>
    <w:rsid w:val="682C2A29"/>
    <w:rsid w:val="6CE64481"/>
    <w:rsid w:val="71F87130"/>
    <w:rsid w:val="77A47413"/>
    <w:rsid w:val="7F3D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555</Words>
  <Characters>3170</Characters>
  <Lines>26</Lines>
  <Paragraphs>7</Paragraphs>
  <TotalTime>2</TotalTime>
  <ScaleCrop>false</ScaleCrop>
  <LinksUpToDate>false</LinksUpToDate>
  <CharactersWithSpaces>3718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2021-01-14T07:00:00Z</dcterms:created>
  <dc:creator>张文超-广西师大</dc:creator>
  <cp:lastModifiedBy>X.FreyA</cp:lastModifiedBy>
  <dcterms:modified xsi:type="dcterms:W3CDTF">2021-12-29T07:09:02Z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12A63DBA67E54E06995FCFF963AD105F</vt:lpwstr>
  </property>
</Properties>
</file>