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7"/>
        <w:spacing w:line="360" w:lineRule="auto"/>
        <w:jc w:val="both"/>
        <w:rPr>
          <w:rFonts w:ascii="Times New Roman" w:hAnsi="Times New Roman" w:cs="Times New Roman"/>
          <w:b/>
          <w:bCs/>
        </w:rPr>
      </w:pPr>
      <w:r>
        <w:rPr>
          <w:rFonts w:ascii="Times New Roman" w:hAnsi="Times New Roman" w:cs="Times New Roman"/>
          <w:b/>
          <w:bCs/>
        </w:rPr>
        <w:t>附件：</w:t>
      </w:r>
    </w:p>
    <w:p>
      <w:pPr>
        <w:pStyle w:val="7"/>
        <w:spacing w:line="360" w:lineRule="auto"/>
        <w:jc w:val="center"/>
        <w:rPr>
          <w:rFonts w:ascii="Times New Roman" w:hAnsi="Times New Roman" w:cs="Times New Roman" w:eastAsiaTheme="majorEastAsia"/>
          <w:b/>
        </w:rPr>
      </w:pPr>
      <w:r>
        <w:rPr>
          <w:rFonts w:ascii="Times New Roman" w:hAnsi="Times New Roman" w:cs="Times New Roman" w:eastAsiaTheme="majorEastAsia"/>
          <w:b/>
        </w:rPr>
        <w:t>拟转让发明专利简介</w:t>
      </w:r>
    </w:p>
    <w:p>
      <w:pPr>
        <w:adjustRightInd w:val="0"/>
        <w:snapToGrid w:val="0"/>
        <w:spacing w:line="400" w:lineRule="exact"/>
        <w:rPr>
          <w:rFonts w:ascii="Times New Roman" w:hAnsi="Times New Roman" w:cs="Times New Roman"/>
          <w:b/>
          <w:bCs/>
          <w:color w:val="000000"/>
          <w:sz w:val="24"/>
          <w:szCs w:val="24"/>
        </w:rPr>
      </w:pPr>
      <w:r>
        <w:rPr>
          <w:rFonts w:ascii="Times New Roman" w:hAnsi="Times New Roman" w:cs="Times New Roman"/>
          <w:b/>
          <w:bCs/>
          <w:color w:val="000000"/>
          <w:sz w:val="24"/>
          <w:szCs w:val="24"/>
        </w:rPr>
        <w:t>一、技术领域</w:t>
      </w:r>
    </w:p>
    <w:p>
      <w:pPr>
        <w:adjustRightInd w:val="0"/>
        <w:snapToGrid w:val="0"/>
        <w:spacing w:line="360" w:lineRule="auto"/>
        <w:ind w:firstLine="573"/>
        <w:rPr>
          <w:rFonts w:ascii="Times New Roman" w:hAnsi="Times New Roman" w:cs="Times New Roman"/>
          <w:b/>
          <w:bCs/>
          <w:color w:val="000000"/>
          <w:sz w:val="24"/>
          <w:szCs w:val="24"/>
        </w:rPr>
      </w:pPr>
      <w:r>
        <w:rPr>
          <w:rFonts w:ascii="Times New Roman" w:hAnsi="Times New Roman" w:cs="Times New Roman"/>
          <w:sz w:val="24"/>
          <w:szCs w:val="24"/>
        </w:rPr>
        <w:t>本发明涉及碳纳米管的制备,具体涉及一种化学气相沉积合成碳纳米管花的方法</w:t>
      </w:r>
      <w:r>
        <w:rPr>
          <w:rFonts w:ascii="Times New Roman" w:hAnsi="Times New Roman" w:cs="Times New Roman"/>
          <w:kern w:val="0"/>
          <w:sz w:val="24"/>
          <w:szCs w:val="24"/>
        </w:rPr>
        <w:t>。</w:t>
      </w:r>
    </w:p>
    <w:p>
      <w:pPr>
        <w:adjustRightInd w:val="0"/>
        <w:snapToGrid w:val="0"/>
        <w:spacing w:line="400" w:lineRule="exact"/>
        <w:rPr>
          <w:rFonts w:ascii="Times New Roman" w:hAnsi="Times New Roman" w:cs="Times New Roman"/>
          <w:b/>
          <w:bCs/>
          <w:color w:val="000000"/>
          <w:sz w:val="24"/>
          <w:szCs w:val="24"/>
        </w:rPr>
      </w:pPr>
      <w:r>
        <w:rPr>
          <w:rFonts w:ascii="Times New Roman" w:hAnsi="Times New Roman" w:cs="Times New Roman"/>
          <w:b/>
          <w:bCs/>
          <w:color w:val="000000"/>
          <w:sz w:val="24"/>
          <w:szCs w:val="24"/>
        </w:rPr>
        <w:t>二、背景技术</w:t>
      </w:r>
    </w:p>
    <w:p>
      <w:pPr>
        <w:adjustRightInd w:val="0"/>
        <w:snapToGrid w:val="0"/>
        <w:spacing w:line="400" w:lineRule="exact"/>
        <w:ind w:firstLine="480" w:firstLineChars="200"/>
        <w:rPr>
          <w:rFonts w:ascii="Times New Roman" w:hAnsi="Times New Roman" w:cs="Times New Roman"/>
          <w:kern w:val="0"/>
          <w:sz w:val="24"/>
          <w:szCs w:val="24"/>
        </w:rPr>
      </w:pPr>
      <w:r>
        <w:rPr>
          <w:rFonts w:ascii="Times New Roman" w:hAnsi="Times New Roman" w:cs="Times New Roman"/>
          <w:kern w:val="0"/>
          <w:sz w:val="24"/>
          <w:szCs w:val="24"/>
        </w:rPr>
        <w:t>碳纳米管(CNTs)具有极高的强度和良好的韧性、导电性,比表面积大,比表面能高等特点。可用在大规模集成电路、超导线材、半导体器件、场发射、微电等众多领域。金属基体中引入CNTs,制备碳纳米管增强金属基复合材料,是获得高性能金属材料的方法之一。</w:t>
      </w:r>
    </w:p>
    <w:p>
      <w:pPr>
        <w:adjustRightInd w:val="0"/>
        <w:snapToGrid w:val="0"/>
        <w:spacing w:line="400" w:lineRule="exact"/>
        <w:ind w:firstLine="480" w:firstLineChars="200"/>
        <w:rPr>
          <w:rFonts w:ascii="Times New Roman" w:hAnsi="Times New Roman" w:cs="Times New Roman"/>
          <w:kern w:val="0"/>
          <w:sz w:val="24"/>
          <w:szCs w:val="24"/>
        </w:rPr>
      </w:pPr>
      <w:r>
        <w:rPr>
          <w:rFonts w:ascii="Times New Roman" w:hAnsi="Times New Roman" w:cs="Times New Roman"/>
          <w:kern w:val="0"/>
          <w:sz w:val="24"/>
          <w:szCs w:val="24"/>
        </w:rPr>
        <w:t>钛及钛合金具有密度小、强度高、耐腐蚀、耐高温、热膨胀系数小等多种优点,尤其.是其高比强度,被广泛应用于国防和国民经济领域。同时,钛材料在航海、石油、化工、生物、医药等领域也十分受欢迎。钛作为一种轻质,耐腐蚀金属,但它的机械性能和化学稳定性很差;钛合金虽然强度很高,但耐磨性不好,利用CNTs改善钛及合金的强度和耐磨性,具有很.高的实用价值。梁昊等人利用二茂铁做催化剂在900°C下合成碳纳米管(化学气相沉积法制备碳纳米管,材料科技与设备,技术与研究,2014年第4期,p4~6),但该方法需要在900°C下合成碳纳米管,能耗较高。</w:t>
      </w:r>
    </w:p>
    <w:p>
      <w:pPr>
        <w:adjustRightInd w:val="0"/>
        <w:snapToGrid w:val="0"/>
        <w:spacing w:line="360" w:lineRule="auto"/>
        <w:rPr>
          <w:rFonts w:ascii="Times New Roman" w:hAnsi="Times New Roman" w:cs="Times New Roman"/>
          <w:b/>
          <w:bCs/>
          <w:color w:val="000000"/>
          <w:sz w:val="24"/>
          <w:szCs w:val="24"/>
        </w:rPr>
      </w:pPr>
      <w:r>
        <w:rPr>
          <w:rFonts w:ascii="Times New Roman" w:hAnsi="Times New Roman" w:cs="Times New Roman"/>
          <w:b/>
          <w:bCs/>
          <w:color w:val="000000"/>
          <w:sz w:val="24"/>
          <w:szCs w:val="24"/>
        </w:rPr>
        <w:t>三、发明内容</w:t>
      </w:r>
    </w:p>
    <w:p>
      <w:pPr>
        <w:spacing w:line="360" w:lineRule="auto"/>
        <w:ind w:firstLine="480" w:firstLineChars="200"/>
        <w:rPr>
          <w:rFonts w:ascii="Times New Roman" w:hAnsi="Times New Roman" w:cs="Times New Roman"/>
          <w:sz w:val="24"/>
          <w:szCs w:val="24"/>
        </w:rPr>
      </w:pPr>
      <w:r>
        <w:rPr>
          <w:rFonts w:ascii="Times New Roman" w:hAnsi="Times New Roman" w:cs="Times New Roman"/>
          <w:sz w:val="24"/>
          <w:szCs w:val="24"/>
        </w:rPr>
        <w:t>本发明要解决的技术问题是提供一种化学气相沉积合成碳纳米管花的方法,该方法对设备要求低,能耗低,对镍催化剂及碳纳米管花的尺寸可控。</w:t>
      </w:r>
    </w:p>
    <w:p>
      <w:pPr>
        <w:spacing w:line="360" w:lineRule="auto"/>
        <w:ind w:firstLine="360" w:firstLineChars="150"/>
        <w:rPr>
          <w:rFonts w:ascii="Times New Roman" w:hAnsi="Times New Roman" w:cs="Times New Roman"/>
          <w:sz w:val="24"/>
          <w:szCs w:val="24"/>
        </w:rPr>
      </w:pPr>
      <w:r>
        <w:rPr>
          <w:rFonts w:ascii="Times New Roman" w:hAnsi="Times New Roman" w:cs="Times New Roman"/>
          <w:sz w:val="24"/>
          <w:szCs w:val="24"/>
        </w:rPr>
        <w:t>本发明所述的化学气相沉积合成碳纳米管花的方法,包括以下步骤:</w:t>
      </w:r>
    </w:p>
    <w:p>
      <w:pPr>
        <w:spacing w:line="360" w:lineRule="auto"/>
        <w:ind w:firstLine="480" w:firstLineChars="200"/>
        <w:rPr>
          <w:rFonts w:ascii="Times New Roman" w:hAnsi="Times New Roman" w:cs="Times New Roman"/>
          <w:sz w:val="24"/>
          <w:szCs w:val="24"/>
        </w:rPr>
      </w:pPr>
      <w:r>
        <w:rPr>
          <w:rFonts w:ascii="Times New Roman" w:hAnsi="Times New Roman" w:cs="Times New Roman"/>
          <w:sz w:val="24"/>
          <w:szCs w:val="24"/>
        </w:rPr>
        <w:t>1)选定基材,对基材进行预处理;</w:t>
      </w:r>
    </w:p>
    <w:p>
      <w:pPr>
        <w:spacing w:line="360" w:lineRule="auto"/>
        <w:ind w:firstLine="480" w:firstLineChars="200"/>
        <w:rPr>
          <w:rFonts w:ascii="Times New Roman" w:hAnsi="Times New Roman" w:cs="Times New Roman"/>
          <w:sz w:val="24"/>
          <w:szCs w:val="24"/>
        </w:rPr>
      </w:pPr>
      <w:r>
        <w:rPr>
          <w:rFonts w:ascii="Times New Roman" w:hAnsi="Times New Roman" w:cs="Times New Roman"/>
          <w:sz w:val="24"/>
          <w:szCs w:val="24"/>
        </w:rPr>
        <w:t>2)将预处理后的基材置于镀镍液中进行化学沉积,取出,干燥,得到负载镍催化剂的基材;所述的镀镍液为乙二醇、氯化镍和氟化铵的水溶液,其组成为:乙二醇600~700ml/L、氯化镍10~ 20g/L、氟化铵l0~30g/L,pH=5.0~5.5;</w:t>
      </w:r>
    </w:p>
    <w:p>
      <w:pPr>
        <w:spacing w:line="360" w:lineRule="auto"/>
        <w:ind w:firstLine="480" w:firstLineChars="200"/>
        <w:rPr>
          <w:rFonts w:ascii="Times New Roman" w:hAnsi="Times New Roman" w:cs="Times New Roman"/>
          <w:sz w:val="24"/>
          <w:szCs w:val="24"/>
        </w:rPr>
      </w:pPr>
      <w:r>
        <w:rPr>
          <w:rFonts w:ascii="Times New Roman" w:hAnsi="Times New Roman" w:cs="Times New Roman"/>
          <w:sz w:val="24"/>
          <w:szCs w:val="24"/>
        </w:rPr>
        <w:t>3)将负载镍催化剂的基材置于管式炉中,通入保护气氛并于保护气氛下升温至350~400°C ,关闭保护气氛;向管式炉中通入氢气并于氢气条件下升温至500~550°C ,然后向管式炉内通入碳源气体，并以氢气作为载气,在500~550C条件下进行化学气相沉积80~110min,所得反应物于保护气氛下冷却,即得。</w:t>
      </w:r>
    </w:p>
    <w:p>
      <w:pPr>
        <w:spacing w:line="360" w:lineRule="auto"/>
        <w:ind w:firstLine="480" w:firstLineChars="200"/>
        <w:rPr>
          <w:rFonts w:ascii="Times New Roman" w:hAnsi="Times New Roman" w:cs="Times New Roman"/>
          <w:sz w:val="24"/>
          <w:szCs w:val="24"/>
        </w:rPr>
      </w:pPr>
      <w:bookmarkStart w:id="0" w:name="_GoBack"/>
      <w:bookmarkEnd w:id="0"/>
      <w:r>
        <w:rPr>
          <w:rFonts w:ascii="Times New Roman" w:hAnsi="Times New Roman" w:cs="Times New Roman"/>
          <w:sz w:val="24"/>
          <w:szCs w:val="24"/>
        </w:rPr>
        <w:t>上述方法的步骤1)中,所述的基材可以是钛箔、铜箔或泡沫铜。对基材的预处理为现有技术中常规的预处理操作,包括清洗、除油和浸蚀等处理。其中,清洗通常是在丙酮、乙醇和水中超声清洗;除油操作时使用的除油液组成为:氢氧化钠10~15g/L、碳酸钠20~30g/L、0P乳化剂2~5mL/L、余量为水;浸蚀操作时使用的浸蚀液组成按体积百分比计为:浓盐酸20~30%、氢氟酸2~5%和余量的水。</w:t>
      </w:r>
    </w:p>
    <w:p>
      <w:pPr>
        <w:spacing w:line="360" w:lineRule="auto"/>
        <w:ind w:firstLine="480" w:firstLineChars="200"/>
        <w:rPr>
          <w:rFonts w:ascii="Times New Roman" w:hAnsi="Times New Roman" w:cs="Times New Roman"/>
          <w:sz w:val="24"/>
          <w:szCs w:val="24"/>
        </w:rPr>
      </w:pPr>
      <w:r>
        <w:rPr>
          <w:rFonts w:ascii="Times New Roman" w:hAnsi="Times New Roman" w:cs="Times New Roman"/>
          <w:sz w:val="24"/>
          <w:szCs w:val="24"/>
        </w:rPr>
        <w:t>上述方法的步骤2)中,化学沉积的时间可以决定镍催化剂粒子尺寸和形貌结构，本申请中,优选控制化学沉积的时间为5~ 10min,这样可以使碳纳米管花能以镍原子为催化剂,在镍的基础上垂直生长,并使合成得到的碳纳米管间距均匀,比表面积大。该步骤中，干燥通常在60~80°C条件下进行。</w:t>
      </w:r>
    </w:p>
    <w:p>
      <w:pPr>
        <w:spacing w:line="360" w:lineRule="auto"/>
        <w:ind w:firstLine="480" w:firstLineChars="200"/>
        <w:rPr>
          <w:rFonts w:ascii="Times New Roman" w:hAnsi="Times New Roman" w:cs="Times New Roman"/>
          <w:sz w:val="24"/>
          <w:szCs w:val="24"/>
        </w:rPr>
      </w:pPr>
      <w:r>
        <w:rPr>
          <w:rFonts w:ascii="Times New Roman" w:hAnsi="Times New Roman" w:cs="Times New Roman"/>
          <w:sz w:val="24"/>
          <w:szCs w:val="24"/>
        </w:rPr>
        <w:t>上述方法的步骤3)中,所述保护气氛的选择与现有技术相同,通常为氩气和/或氮气。保护气氛的通入速率通常为350~500mL/min,在通入保护气氛时的升温速率通常控制在5~10°C/min。</w:t>
      </w:r>
    </w:p>
    <w:p>
      <w:pPr>
        <w:spacing w:line="360" w:lineRule="auto"/>
        <w:ind w:firstLine="480" w:firstLineChars="200"/>
        <w:rPr>
          <w:rFonts w:ascii="Times New Roman" w:hAnsi="Times New Roman" w:cs="Times New Roman"/>
          <w:sz w:val="24"/>
          <w:szCs w:val="24"/>
        </w:rPr>
      </w:pPr>
      <w:r>
        <w:rPr>
          <w:rFonts w:ascii="Times New Roman" w:hAnsi="Times New Roman" w:cs="Times New Roman"/>
          <w:sz w:val="24"/>
          <w:szCs w:val="24"/>
        </w:rPr>
        <w:t>上述方法的步骤3)中,所述碳源气体的选择与现有技术相同,具体可以是甲烷、乙烯或乙炔等碳氢化合物。在该步骤中,所述氢气和碳源气体的通入速率相同,均优选为100~ 200mL/min。</w:t>
      </w:r>
    </w:p>
    <w:p>
      <w:pPr>
        <w:spacing w:line="360" w:lineRule="auto"/>
        <w:ind w:firstLine="480" w:firstLineChars="200"/>
        <w:rPr>
          <w:rFonts w:ascii="Times New Roman" w:hAnsi="Times New Roman" w:cs="Times New Roman"/>
          <w:sz w:val="24"/>
          <w:szCs w:val="24"/>
        </w:rPr>
      </w:pPr>
      <w:r>
        <w:rPr>
          <w:rFonts w:ascii="Times New Roman" w:hAnsi="Times New Roman" w:cs="Times New Roman"/>
          <w:sz w:val="24"/>
          <w:szCs w:val="24"/>
        </w:rPr>
        <w:t>上述方法的步骤3)中,为了完全置换之前的通入的保护气氛,优选是在通入氢气使管式炉中的温度升至500~550°C后，再通入氢气10~ 20min。</w:t>
      </w:r>
    </w:p>
    <w:p>
      <w:pPr>
        <w:spacing w:line="360" w:lineRule="auto"/>
        <w:ind w:firstLine="480" w:firstLineChars="200"/>
        <w:rPr>
          <w:rFonts w:ascii="Times New Roman" w:hAnsi="Times New Roman" w:cs="Times New Roman"/>
          <w:sz w:val="24"/>
          <w:szCs w:val="24"/>
        </w:rPr>
      </w:pPr>
      <w:r>
        <w:rPr>
          <w:rFonts w:ascii="Times New Roman" w:hAnsi="Times New Roman" w:cs="Times New Roman"/>
          <w:sz w:val="24"/>
          <w:szCs w:val="24"/>
        </w:rPr>
        <w:t>与现有技术相比,本发明的特点在于:</w:t>
      </w:r>
    </w:p>
    <w:p>
      <w:pPr>
        <w:spacing w:line="360" w:lineRule="auto"/>
        <w:ind w:firstLine="480" w:firstLineChars="200"/>
        <w:rPr>
          <w:rFonts w:ascii="Times New Roman" w:hAnsi="Times New Roman" w:cs="Times New Roman"/>
          <w:sz w:val="24"/>
          <w:szCs w:val="24"/>
        </w:rPr>
      </w:pPr>
      <w:r>
        <w:rPr>
          <w:rFonts w:ascii="Times New Roman" w:hAnsi="Times New Roman" w:cs="Times New Roman"/>
          <w:sz w:val="24"/>
          <w:szCs w:val="24"/>
        </w:rPr>
        <w:t>1.本发明所述方法在化学气相沉积中首次采用化学镀的方法沉积镍作为催化剂,通过化学沉积时间来控制镍催化剂粒子尺寸和形貌结构,操作方便、可控。</w:t>
      </w:r>
    </w:p>
    <w:p>
      <w:pPr>
        <w:spacing w:line="360" w:lineRule="auto"/>
        <w:ind w:firstLine="480" w:firstLineChars="200"/>
        <w:rPr>
          <w:rFonts w:ascii="Times New Roman" w:hAnsi="Times New Roman" w:cs="Times New Roman"/>
          <w:sz w:val="24"/>
          <w:szCs w:val="24"/>
        </w:rPr>
      </w:pPr>
      <w:r>
        <w:rPr>
          <w:rFonts w:ascii="Times New Roman" w:hAnsi="Times New Roman" w:cs="Times New Roman"/>
          <w:sz w:val="24"/>
          <w:szCs w:val="24"/>
        </w:rPr>
        <w:t>2.本发明所述方法的反应温度在500~550°C,相对现有技术，反应温度低,能耗更低,对设备材质要求低。</w:t>
      </w:r>
    </w:p>
    <w:p>
      <w:pPr>
        <w:spacing w:line="360" w:lineRule="auto"/>
        <w:ind w:firstLine="480" w:firstLineChars="200"/>
        <w:rPr>
          <w:rFonts w:ascii="Times New Roman" w:hAnsi="Times New Roman" w:cs="Times New Roman"/>
          <w:sz w:val="24"/>
          <w:szCs w:val="24"/>
        </w:rPr>
      </w:pPr>
    </w:p>
    <w:sectPr>
      <w:footerReference r:id="rId3"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ourier New">
    <w:panose1 w:val="02070309020205020404"/>
    <w:charset w:val="00"/>
    <w:family w:val="modern"/>
    <w:pitch w:val="default"/>
    <w:sig w:usb0="E0002EFF" w:usb1="C0007843" w:usb2="00000009" w:usb3="00000000" w:csb0="400001FF" w:csb1="FFFF0000"/>
  </w:font>
  <w:font w:name="Verdana">
    <w:panose1 w:val="020B0604030504040204"/>
    <w:charset w:val="00"/>
    <w:family w:val="swiss"/>
    <w:pitch w:val="default"/>
    <w:sig w:usb0="A00006FF" w:usb1="4000205B" w:usb2="00000010" w:usb3="00000000" w:csb0="2000019F" w:csb1="00000000"/>
  </w:font>
  <w:font w:name="Arial">
    <w:panose1 w:val="020B0604020202020204"/>
    <w:charset w:val="00"/>
    <w:family w:val="swiss"/>
    <w:pitch w:val="default"/>
    <w:sig w:usb0="E0002EFF" w:usb1="C000785B" w:usb2="00000009" w:usb3="00000000" w:csb0="4000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w:pict>
        <v:shape id="_x0000_s2049" o:spid="_x0000_s2049"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v:imagedata o:title=""/>
          <o:lock v:ext="edit" aspectratio="f"/>
          <v:textbox inset="0mm,0mm,0mm,0mm" style="mso-fit-shape-to-text:t;">
            <w:txbxContent>
              <w:p>
                <w:pPr>
                  <w:pStyle w:val="5"/>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2</w:t>
                </w:r>
                <w:r>
                  <w:fldChar w:fldCharType="end"/>
                </w:r>
                <w:r>
                  <w:t xml:space="preserve"> 页</w:t>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YTNmNjQzMDA0NDA4NmU3YjljM2JjMjA2OTYxOWQ0YTUifQ=="/>
  </w:docVars>
  <w:rsids>
    <w:rsidRoot w:val="007E496D"/>
    <w:rsid w:val="00086FE4"/>
    <w:rsid w:val="001E206D"/>
    <w:rsid w:val="002471E4"/>
    <w:rsid w:val="00270627"/>
    <w:rsid w:val="002D7461"/>
    <w:rsid w:val="00354172"/>
    <w:rsid w:val="00360234"/>
    <w:rsid w:val="00371580"/>
    <w:rsid w:val="003E0AB2"/>
    <w:rsid w:val="003E2E4B"/>
    <w:rsid w:val="00421187"/>
    <w:rsid w:val="005636D4"/>
    <w:rsid w:val="005A713B"/>
    <w:rsid w:val="00694649"/>
    <w:rsid w:val="00712815"/>
    <w:rsid w:val="0071310C"/>
    <w:rsid w:val="00760859"/>
    <w:rsid w:val="007C3B87"/>
    <w:rsid w:val="007E496D"/>
    <w:rsid w:val="00855292"/>
    <w:rsid w:val="00990D07"/>
    <w:rsid w:val="00A44548"/>
    <w:rsid w:val="00A738B7"/>
    <w:rsid w:val="00AA4CDC"/>
    <w:rsid w:val="00B07115"/>
    <w:rsid w:val="00B23DB3"/>
    <w:rsid w:val="00B30344"/>
    <w:rsid w:val="00B532AE"/>
    <w:rsid w:val="00B60322"/>
    <w:rsid w:val="00DE1E3F"/>
    <w:rsid w:val="00E104B1"/>
    <w:rsid w:val="00EA4952"/>
    <w:rsid w:val="00EA637E"/>
    <w:rsid w:val="00F30FB7"/>
    <w:rsid w:val="00F44AE2"/>
    <w:rsid w:val="178C749F"/>
    <w:rsid w:val="2BC84A3E"/>
    <w:rsid w:val="2C2A4437"/>
    <w:rsid w:val="3B306A7D"/>
    <w:rsid w:val="43C01D1A"/>
    <w:rsid w:val="43CC72AC"/>
    <w:rsid w:val="717C0A5F"/>
    <w:rsid w:val="75A55B0E"/>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0" w:semiHidden="0" w:name="Emphasis"/>
    <w:lsdException w:uiPriority="99" w:name="Document Map"/>
    <w:lsdException w:qFormat="1" w:unhideWhenUsed="0" w:uiPriority="0" w:semiHidden="0"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2"/>
    <w:basedOn w:val="1"/>
    <w:next w:val="1"/>
    <w:link w:val="17"/>
    <w:qFormat/>
    <w:uiPriority w:val="0"/>
    <w:pPr>
      <w:keepNext/>
      <w:keepLines/>
      <w:spacing w:before="260" w:after="260"/>
      <w:outlineLvl w:val="1"/>
    </w:pPr>
    <w:rPr>
      <w:rFonts w:ascii="Times New Roman" w:hAnsi="Times New Roman" w:eastAsia="宋体" w:cs="Times New Roman"/>
      <w:bCs/>
      <w:szCs w:val="32"/>
      <w:lang w:val="zh-CN"/>
    </w:rPr>
  </w:style>
  <w:style w:type="character" w:default="1" w:styleId="9">
    <w:name w:val="Default Paragraph Font"/>
    <w:semiHidden/>
    <w:unhideWhenUsed/>
    <w:uiPriority w:val="1"/>
  </w:style>
  <w:style w:type="table" w:default="1" w:styleId="8">
    <w:name w:val="Normal Table"/>
    <w:semiHidden/>
    <w:unhideWhenUsed/>
    <w:uiPriority w:val="99"/>
    <w:tblPr>
      <w:tblCellMar>
        <w:top w:w="0" w:type="dxa"/>
        <w:left w:w="108" w:type="dxa"/>
        <w:bottom w:w="0" w:type="dxa"/>
        <w:right w:w="108" w:type="dxa"/>
      </w:tblCellMar>
    </w:tblPr>
  </w:style>
  <w:style w:type="paragraph" w:styleId="3">
    <w:name w:val="Plain Text"/>
    <w:basedOn w:val="1"/>
    <w:link w:val="14"/>
    <w:qFormat/>
    <w:uiPriority w:val="0"/>
    <w:rPr>
      <w:rFonts w:ascii="宋体" w:hAnsi="Courier New" w:eastAsia="宋体"/>
      <w:kern w:val="0"/>
      <w:sz w:val="20"/>
      <w:szCs w:val="20"/>
    </w:rPr>
  </w:style>
  <w:style w:type="paragraph" w:styleId="4">
    <w:name w:val="Balloon Text"/>
    <w:basedOn w:val="1"/>
    <w:link w:val="19"/>
    <w:semiHidden/>
    <w:unhideWhenUsed/>
    <w:uiPriority w:val="99"/>
    <w:rPr>
      <w:sz w:val="18"/>
      <w:szCs w:val="18"/>
    </w:rPr>
  </w:style>
  <w:style w:type="paragraph" w:styleId="5">
    <w:name w:val="footer"/>
    <w:basedOn w:val="1"/>
    <w:link w:val="12"/>
    <w:unhideWhenUsed/>
    <w:uiPriority w:val="99"/>
    <w:pPr>
      <w:tabs>
        <w:tab w:val="center" w:pos="4153"/>
        <w:tab w:val="right" w:pos="8306"/>
      </w:tabs>
      <w:snapToGrid w:val="0"/>
      <w:jc w:val="left"/>
    </w:pPr>
    <w:rPr>
      <w:sz w:val="18"/>
      <w:szCs w:val="18"/>
    </w:rPr>
  </w:style>
  <w:style w:type="paragraph" w:styleId="6">
    <w:name w:val="header"/>
    <w:basedOn w:val="1"/>
    <w:link w:val="11"/>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10">
    <w:name w:val="Emphasis"/>
    <w:qFormat/>
    <w:uiPriority w:val="0"/>
    <w:rPr>
      <w:color w:val="CC0000"/>
    </w:rPr>
  </w:style>
  <w:style w:type="character" w:customStyle="1" w:styleId="11">
    <w:name w:val="页眉 字符"/>
    <w:basedOn w:val="9"/>
    <w:link w:val="6"/>
    <w:qFormat/>
    <w:uiPriority w:val="99"/>
    <w:rPr>
      <w:kern w:val="2"/>
      <w:sz w:val="18"/>
      <w:szCs w:val="18"/>
    </w:rPr>
  </w:style>
  <w:style w:type="character" w:customStyle="1" w:styleId="12">
    <w:name w:val="页脚 字符"/>
    <w:basedOn w:val="9"/>
    <w:link w:val="5"/>
    <w:uiPriority w:val="99"/>
    <w:rPr>
      <w:kern w:val="2"/>
      <w:sz w:val="18"/>
      <w:szCs w:val="18"/>
    </w:rPr>
  </w:style>
  <w:style w:type="paragraph" w:customStyle="1" w:styleId="13">
    <w:name w:val="正文1"/>
    <w:uiPriority w:val="0"/>
    <w:pPr>
      <w:jc w:val="both"/>
    </w:pPr>
    <w:rPr>
      <w:rFonts w:ascii="Times New Roman" w:hAnsi="Times New Roman" w:eastAsia="宋体" w:cs="Times New Roman"/>
      <w:kern w:val="2"/>
      <w:sz w:val="21"/>
      <w:szCs w:val="21"/>
      <w:lang w:val="en-US" w:eastAsia="zh-CN" w:bidi="ar-SA"/>
    </w:rPr>
  </w:style>
  <w:style w:type="character" w:customStyle="1" w:styleId="14">
    <w:name w:val="纯文本 字符"/>
    <w:basedOn w:val="9"/>
    <w:link w:val="3"/>
    <w:qFormat/>
    <w:uiPriority w:val="0"/>
    <w:rPr>
      <w:rFonts w:ascii="宋体" w:hAnsi="Courier New" w:eastAsia="宋体"/>
    </w:rPr>
  </w:style>
  <w:style w:type="character" w:customStyle="1" w:styleId="15">
    <w:name w:val="纯文本 Char1"/>
    <w:basedOn w:val="9"/>
    <w:semiHidden/>
    <w:qFormat/>
    <w:uiPriority w:val="99"/>
    <w:rPr>
      <w:rFonts w:ascii="宋体" w:hAnsi="Courier New" w:eastAsia="宋体" w:cs="Courier New"/>
      <w:kern w:val="2"/>
      <w:sz w:val="21"/>
      <w:szCs w:val="21"/>
    </w:rPr>
  </w:style>
  <w:style w:type="character" w:customStyle="1" w:styleId="16">
    <w:name w:val="zi_101"/>
    <w:uiPriority w:val="0"/>
    <w:rPr>
      <w:rFonts w:hint="default" w:ascii="Verdana" w:hAnsi="Verdana"/>
      <w:snapToGrid/>
      <w:color w:val="C90000"/>
      <w:sz w:val="18"/>
      <w:szCs w:val="18"/>
    </w:rPr>
  </w:style>
  <w:style w:type="character" w:customStyle="1" w:styleId="17">
    <w:name w:val="标题 2 字符"/>
    <w:basedOn w:val="9"/>
    <w:link w:val="2"/>
    <w:uiPriority w:val="0"/>
    <w:rPr>
      <w:rFonts w:ascii="Times New Roman" w:hAnsi="Times New Roman" w:eastAsia="宋体" w:cs="Times New Roman"/>
      <w:bCs/>
      <w:kern w:val="2"/>
      <w:sz w:val="21"/>
      <w:szCs w:val="32"/>
      <w:lang w:val="zh-CN" w:eastAsia="zh-CN"/>
    </w:rPr>
  </w:style>
  <w:style w:type="character" w:customStyle="1" w:styleId="18">
    <w:name w:val="schriftd1"/>
    <w:uiPriority w:val="0"/>
    <w:rPr>
      <w:rFonts w:hint="default" w:ascii="Arial" w:hAnsi="Arial"/>
      <w:b/>
      <w:bCs/>
      <w:color w:val="000000"/>
      <w:sz w:val="16"/>
      <w:szCs w:val="16"/>
    </w:rPr>
  </w:style>
  <w:style w:type="character" w:customStyle="1" w:styleId="19">
    <w:name w:val="批注框文本 字符"/>
    <w:basedOn w:val="9"/>
    <w:link w:val="4"/>
    <w:semiHidden/>
    <w:uiPriority w:val="99"/>
    <w:rPr>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2049"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2</Pages>
  <Words>1347</Words>
  <Characters>1551</Characters>
  <Lines>11</Lines>
  <Paragraphs>3</Paragraphs>
  <TotalTime>57</TotalTime>
  <ScaleCrop>false</ScaleCrop>
  <LinksUpToDate>false</LinksUpToDate>
  <CharactersWithSpaces>1557</CharactersWithSpaces>
  <Application>WPS Office_11.1.0.11636_F1E327BC-269C-435d-A152-05C5408002CA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2018-10-14T01:54:00Z</dcterms:created>
  <dc:creator>User</dc:creator>
  <cp:lastModifiedBy>GXSD</cp:lastModifiedBy>
  <dcterms:modified xsi:type="dcterms:W3CDTF">2022-05-05T05:04:12Z</dcterms:modified>
  <cp:revision>19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2052-11.1.0.11636</vt:lpwstr>
  </property>
  <property fmtid="{D5CDD505-2E9C-101B-9397-08002B2CF9AE}" pid="3" name="ICV">
    <vt:lpwstr>F3DD1DE10173487094296F296897CEA3</vt:lpwstr>
  </property>
</Properties>
</file>