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7C7E5">
      <w:pPr>
        <w:rPr>
          <w:rFonts w:hint="eastAsia" w:eastAsia="黑体"/>
          <w:sz w:val="32"/>
          <w:szCs w:val="32"/>
          <w:highlight w:val="none"/>
          <w:lang w:eastAsia="zh-CN"/>
        </w:rPr>
      </w:pPr>
      <w:r>
        <w:rPr>
          <w:rFonts w:eastAsia="黑体"/>
          <w:sz w:val="32"/>
          <w:szCs w:val="32"/>
          <w:highlight w:val="none"/>
        </w:rPr>
        <w:t>附件</w:t>
      </w:r>
      <w:r>
        <w:rPr>
          <w:rFonts w:hint="eastAsia" w:eastAsia="黑体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</w:p>
    <w:p w14:paraId="13AEEE1C">
      <w:pPr>
        <w:adjustRightInd w:val="0"/>
        <w:snapToGrid w:val="0"/>
        <w:spacing w:line="720" w:lineRule="exact"/>
        <w:jc w:val="center"/>
        <w:rPr>
          <w:rFonts w:hint="eastAsia" w:eastAsia="方正小标宋简体"/>
          <w:sz w:val="36"/>
          <w:szCs w:val="36"/>
          <w:highlight w:val="none"/>
          <w:lang w:val="en-US" w:eastAsia="zh-CN"/>
        </w:rPr>
      </w:pP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第二届全国大学生职业规划大赛</w:t>
      </w:r>
    </w:p>
    <w:p w14:paraId="2EBE5CBA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广西师范大学本科生校级决赛成长赛道方案</w:t>
      </w:r>
    </w:p>
    <w:p w14:paraId="001B0BCE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一、比赛内容</w:t>
      </w:r>
    </w:p>
    <w:p w14:paraId="4A7F0E01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1CEA9EF0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二、参赛组别和对象</w:t>
      </w:r>
    </w:p>
    <w:p w14:paraId="4E048F92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进入校级决赛</w:t>
      </w:r>
      <w:r>
        <w:rPr>
          <w:rFonts w:eastAsia="仿宋_GB2312"/>
          <w:color w:val="000000"/>
          <w:sz w:val="32"/>
          <w:szCs w:val="32"/>
          <w:highlight w:val="none"/>
        </w:rPr>
        <w:t>成长赛道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的选手，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决赛选手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符合</w:t>
      </w:r>
      <w:r>
        <w:rPr>
          <w:rFonts w:eastAsia="仿宋_GB2312"/>
          <w:color w:val="000000"/>
          <w:sz w:val="32"/>
          <w:szCs w:val="32"/>
          <w:highlight w:val="none"/>
        </w:rPr>
        <w:t>普通高等学校全日制普通本科一、二、三年级在校学生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的条件</w:t>
      </w:r>
      <w:r>
        <w:rPr>
          <w:rFonts w:eastAsia="仿宋_GB2312"/>
          <w:color w:val="000000"/>
          <w:sz w:val="32"/>
          <w:szCs w:val="32"/>
          <w:highlight w:val="none"/>
        </w:rPr>
        <w:t>。</w:t>
      </w:r>
    </w:p>
    <w:p w14:paraId="5C4A37DE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三、参赛材料要求</w:t>
      </w:r>
    </w:p>
    <w:p w14:paraId="6633C7AF">
      <w:pPr>
        <w:snapToGrid w:val="0"/>
        <w:spacing w:line="600" w:lineRule="exact"/>
        <w:ind w:firstLine="624" w:firstLineChars="200"/>
        <w:rPr>
          <w:rFonts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hint="eastAsia" w:eastAsia="仿宋_GB2312"/>
          <w:color w:val="000000"/>
          <w:spacing w:val="-4"/>
          <w:sz w:val="32"/>
          <w:szCs w:val="32"/>
          <w:highlight w:val="none"/>
          <w:lang w:val="en-US" w:eastAsia="zh-CN"/>
        </w:rPr>
        <w:t>进入决赛</w:t>
      </w:r>
      <w:r>
        <w:rPr>
          <w:rFonts w:eastAsia="仿宋_GB2312"/>
          <w:color w:val="000000"/>
          <w:spacing w:val="-4"/>
          <w:sz w:val="32"/>
          <w:szCs w:val="32"/>
          <w:highlight w:val="none"/>
        </w:rPr>
        <w:t>选手</w:t>
      </w:r>
      <w:r>
        <w:rPr>
          <w:rFonts w:hint="eastAsia" w:eastAsia="仿宋_GB2312"/>
          <w:color w:val="000000"/>
          <w:spacing w:val="-4"/>
          <w:sz w:val="32"/>
          <w:szCs w:val="32"/>
          <w:highlight w:val="none"/>
          <w:lang w:val="en-US" w:eastAsia="zh-CN"/>
        </w:rPr>
        <w:t>需要</w:t>
      </w:r>
      <w:r>
        <w:rPr>
          <w:rFonts w:eastAsia="仿宋_GB2312"/>
          <w:color w:val="000000"/>
          <w:spacing w:val="-4"/>
          <w:sz w:val="32"/>
          <w:szCs w:val="32"/>
          <w:highlight w:val="none"/>
        </w:rPr>
        <w:t>提交以下参赛材料：</w:t>
      </w:r>
    </w:p>
    <w:p w14:paraId="26125F95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一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eastAsia="仿宋_GB2312"/>
          <w:color w:val="000000"/>
          <w:sz w:val="32"/>
          <w:szCs w:val="32"/>
          <w:highlight w:val="none"/>
        </w:rPr>
        <w:t>生涯发展报告：</w:t>
      </w:r>
      <w:r>
        <w:rPr>
          <w:rFonts w:hint="eastAsia" w:eastAsia="仿宋_GB2312"/>
          <w:color w:val="000000"/>
          <w:sz w:val="32"/>
          <w:szCs w:val="32"/>
          <w:highlight w:val="none"/>
        </w:rPr>
        <w:t>介绍设定职业目标的过程；实现职业目标的具体行动和成效；职业目标及行动的动态调整等(PDF格式，文字不超过2000字，图表不超过5张)。</w:t>
      </w:r>
    </w:p>
    <w:p w14:paraId="14DB3F36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eastAsia="仿宋_GB2312"/>
          <w:color w:val="000000"/>
          <w:sz w:val="32"/>
          <w:szCs w:val="32"/>
          <w:highlight w:val="none"/>
        </w:rPr>
        <w:t>生涯发展展示（PPT格式，不超过50MB；可加入视频）。</w:t>
      </w:r>
    </w:p>
    <w:p w14:paraId="1D3B0072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四、比赛环节</w:t>
      </w:r>
    </w:p>
    <w:p w14:paraId="7748B35E">
      <w:pPr>
        <w:snapToGrid w:val="0"/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eastAsia="仿宋_GB2312"/>
          <w:color w:val="000000"/>
          <w:sz w:val="32"/>
          <w:szCs w:val="32"/>
          <w:highlight w:val="none"/>
        </w:rPr>
        <w:t>成长赛道设主题陈述、评委提问和天降实习offer（实习意向）环节。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各环节时长根据实际情况适当调整。</w:t>
      </w:r>
    </w:p>
    <w:p w14:paraId="1DB4D678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（一）主题陈述（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选手结合生涯发展报告进行陈述和展示。</w:t>
      </w:r>
    </w:p>
    <w:p w14:paraId="4E0C989E">
      <w:pPr>
        <w:snapToGrid w:val="0"/>
        <w:spacing w:line="600" w:lineRule="exact"/>
        <w:ind w:firstLine="643" w:firstLineChars="200"/>
        <w:rPr>
          <w:rFonts w:eastAsia="仿宋_GB2312"/>
          <w:b/>
          <w:bCs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（二）评委提问（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评委结合选手陈述和现场表现</w:t>
      </w:r>
      <w:r>
        <w:rPr>
          <w:rFonts w:eastAsia="仿宋_GB2312"/>
          <w:b w:val="0"/>
          <w:bCs w:val="0"/>
          <w:color w:val="000000"/>
          <w:sz w:val="32"/>
          <w:szCs w:val="32"/>
          <w:highlight w:val="none"/>
        </w:rPr>
        <w:t>进行提问。</w:t>
      </w:r>
    </w:p>
    <w:p w14:paraId="1F41D514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（三）天降实习offer（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用人单位根据选手表现，决定是否给出实习意向，并对选手作点评。</w:t>
      </w:r>
    </w:p>
    <w:p w14:paraId="5DA56470">
      <w:pPr>
        <w:snapToGrid w:val="0"/>
        <w:spacing w:line="52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五、评审标准</w:t>
      </w:r>
    </w:p>
    <w:tbl>
      <w:tblPr>
        <w:tblStyle w:val="2"/>
        <w:tblW w:w="50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6246"/>
        <w:gridCol w:w="672"/>
      </w:tblGrid>
      <w:tr w14:paraId="239E2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942" w:type="pct"/>
            <w:noWrap w:val="0"/>
            <w:vAlign w:val="center"/>
          </w:tcPr>
          <w:p w14:paraId="62F39EE4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指  标</w:t>
            </w:r>
          </w:p>
        </w:tc>
        <w:tc>
          <w:tcPr>
            <w:tcW w:w="3662" w:type="pct"/>
            <w:noWrap w:val="0"/>
            <w:vAlign w:val="center"/>
          </w:tcPr>
          <w:p w14:paraId="1CEEE5F6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说    明</w:t>
            </w:r>
          </w:p>
        </w:tc>
        <w:tc>
          <w:tcPr>
            <w:tcW w:w="394" w:type="pct"/>
            <w:noWrap w:val="0"/>
            <w:vAlign w:val="center"/>
          </w:tcPr>
          <w:p w14:paraId="30832426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分值</w:t>
            </w:r>
          </w:p>
        </w:tc>
      </w:tr>
      <w:tr w14:paraId="57294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restart"/>
            <w:noWrap w:val="0"/>
            <w:vAlign w:val="center"/>
          </w:tcPr>
          <w:p w14:paraId="76138DA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职业目标</w:t>
            </w:r>
          </w:p>
        </w:tc>
        <w:tc>
          <w:tcPr>
            <w:tcW w:w="3662" w:type="pct"/>
            <w:noWrap w:val="0"/>
            <w:vAlign w:val="center"/>
          </w:tcPr>
          <w:p w14:paraId="5516AA7A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结合所学专业多渠道了解相关行业发展趋势和就业市场需求，综合分析个人能力优势、兴趣特长等，合理设定职业目标</w:t>
            </w:r>
          </w:p>
        </w:tc>
        <w:tc>
          <w:tcPr>
            <w:tcW w:w="394" w:type="pct"/>
            <w:noWrap w:val="0"/>
            <w:vAlign w:val="center"/>
          </w:tcPr>
          <w:p w14:paraId="4108583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9A80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5719F14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475DEFB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基于职业目标对综合素质和专业能力等方面要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求，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科学分析个人现实情况与职业目标间的差距，制定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合理可行的成长计划</w:t>
            </w:r>
          </w:p>
        </w:tc>
        <w:tc>
          <w:tcPr>
            <w:tcW w:w="394" w:type="pct"/>
            <w:noWrap w:val="0"/>
            <w:vAlign w:val="center"/>
          </w:tcPr>
          <w:p w14:paraId="0B5336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B094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5DD5B3F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50ED32A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职业目标能够将个人理想与国家需要、经济社会发展相结合，体现正确的择业就业观念</w:t>
            </w:r>
          </w:p>
        </w:tc>
        <w:tc>
          <w:tcPr>
            <w:tcW w:w="394" w:type="pct"/>
            <w:noWrap w:val="0"/>
            <w:vAlign w:val="center"/>
          </w:tcPr>
          <w:p w14:paraId="15E6D2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1B30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942" w:type="pct"/>
            <w:vMerge w:val="restart"/>
            <w:noWrap w:val="0"/>
            <w:vAlign w:val="center"/>
          </w:tcPr>
          <w:p w14:paraId="2D48DC5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学习实践行动</w:t>
            </w:r>
          </w:p>
        </w:tc>
        <w:tc>
          <w:tcPr>
            <w:tcW w:w="3662" w:type="pct"/>
            <w:noWrap w:val="0"/>
            <w:vAlign w:val="center"/>
          </w:tcPr>
          <w:p w14:paraId="7552CCF6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围绕目标职业要求，结合学校育人特色和所学专业，利用学校及社会资源开展学习实践</w:t>
            </w:r>
          </w:p>
        </w:tc>
        <w:tc>
          <w:tcPr>
            <w:tcW w:w="394" w:type="pct"/>
            <w:noWrap w:val="0"/>
            <w:vAlign w:val="center"/>
          </w:tcPr>
          <w:p w14:paraId="2B46A9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30</w:t>
            </w:r>
          </w:p>
        </w:tc>
      </w:tr>
      <w:tr w14:paraId="030C5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191FEC1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57836C6A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学习实践行动取得阶段性标志性成果，接近职业目标要求</w:t>
            </w:r>
          </w:p>
        </w:tc>
        <w:tc>
          <w:tcPr>
            <w:tcW w:w="394" w:type="pct"/>
            <w:noWrap w:val="0"/>
            <w:vAlign w:val="center"/>
          </w:tcPr>
          <w:p w14:paraId="726030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20</w:t>
            </w:r>
          </w:p>
        </w:tc>
      </w:tr>
      <w:tr w14:paraId="0D726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42" w:type="pct"/>
            <w:noWrap w:val="0"/>
            <w:vAlign w:val="center"/>
          </w:tcPr>
          <w:p w14:paraId="553C2A1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动态调整</w:t>
            </w:r>
          </w:p>
        </w:tc>
        <w:tc>
          <w:tcPr>
            <w:tcW w:w="3662" w:type="pct"/>
            <w:noWrap w:val="0"/>
            <w:vAlign w:val="center"/>
          </w:tcPr>
          <w:p w14:paraId="6727095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及时对学习实践行动成效进行自我评估，总结分析收获、不足和原因，对职业目标和学习实践行动路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径等作动态调整</w:t>
            </w:r>
          </w:p>
        </w:tc>
        <w:tc>
          <w:tcPr>
            <w:tcW w:w="394" w:type="pct"/>
            <w:noWrap w:val="0"/>
            <w:vAlign w:val="center"/>
          </w:tcPr>
          <w:p w14:paraId="708EA6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20</w:t>
            </w:r>
          </w:p>
        </w:tc>
      </w:tr>
    </w:tbl>
    <w:p w14:paraId="23666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E7B87"/>
    <w:rsid w:val="116E6670"/>
    <w:rsid w:val="1B430B6D"/>
    <w:rsid w:val="1E5E25A2"/>
    <w:rsid w:val="279462AC"/>
    <w:rsid w:val="2B785BA8"/>
    <w:rsid w:val="31340867"/>
    <w:rsid w:val="32236BAB"/>
    <w:rsid w:val="3B0033B4"/>
    <w:rsid w:val="439D602E"/>
    <w:rsid w:val="528648C0"/>
    <w:rsid w:val="5D04662A"/>
    <w:rsid w:val="5D27351F"/>
    <w:rsid w:val="5D311B87"/>
    <w:rsid w:val="60966616"/>
    <w:rsid w:val="63FD1E1D"/>
    <w:rsid w:val="6CFE7B87"/>
    <w:rsid w:val="711F7F62"/>
    <w:rsid w:val="799A6D1F"/>
    <w:rsid w:val="7B58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740</Words>
  <Characters>765</Characters>
  <Lines>0</Lines>
  <Paragraphs>0</Paragraphs>
  <TotalTime>1</TotalTime>
  <ScaleCrop>false</ScaleCrop>
  <LinksUpToDate>false</LinksUpToDate>
  <CharactersWithSpaces>771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2024-11-22T03:44:00Z</dcterms:created>
  <dc:creator>Rosy</dc:creator>
  <cp:lastModifiedBy>Rosy</cp:lastModifiedBy>
  <dcterms:modified xsi:type="dcterms:W3CDTF">2024-12-18T12:31:10Z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6249BB81E81A458CBF36379F2E8249A6_11</vt:lpwstr>
  </property>
</Properties>
</file>